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9BAFA77" w:rsidR="00D074F3" w:rsidRDefault="007D563A" w:rsidP="003C50DA">
      <w:pPr>
        <w:spacing w:after="0" w:line="240" w:lineRule="auto"/>
        <w:rPr>
          <w:rFonts w:ascii="Garamond" w:eastAsia="Garamond" w:hAnsi="Garamond" w:cs="Garamond"/>
          <w:b/>
          <w:color w:val="000000"/>
          <w:sz w:val="28"/>
          <w:szCs w:val="28"/>
        </w:rPr>
      </w:pPr>
      <w:r w:rsidRPr="007D563A">
        <w:rPr>
          <w:rFonts w:ascii="Garamond" w:eastAsia="Garamond" w:hAnsi="Garamond" w:cs="Garamond"/>
          <w:b/>
          <w:color w:val="000000"/>
          <w:sz w:val="28"/>
          <w:szCs w:val="28"/>
          <w:lang w:val="it-IT"/>
        </w:rPr>
        <w:t xml:space="preserve">L’ageismo nei contesti sociosanitari in Europa: una </w:t>
      </w:r>
      <w:proofErr w:type="spellStart"/>
      <w:r w:rsidRPr="007D563A">
        <w:rPr>
          <w:rFonts w:ascii="Garamond" w:eastAsia="Garamond" w:hAnsi="Garamond" w:cs="Garamond"/>
          <w:b/>
          <w:i/>
          <w:iCs/>
          <w:color w:val="000000"/>
          <w:sz w:val="28"/>
          <w:szCs w:val="28"/>
          <w:lang w:val="it-IT"/>
        </w:rPr>
        <w:t>scoping</w:t>
      </w:r>
      <w:proofErr w:type="spellEnd"/>
      <w:r w:rsidRPr="007D563A">
        <w:rPr>
          <w:rFonts w:ascii="Garamond" w:eastAsia="Garamond" w:hAnsi="Garamond" w:cs="Garamond"/>
          <w:b/>
          <w:i/>
          <w:iCs/>
          <w:color w:val="000000"/>
          <w:sz w:val="28"/>
          <w:szCs w:val="28"/>
          <w:lang w:val="it-IT"/>
        </w:rPr>
        <w:t xml:space="preserve"> review</w:t>
      </w:r>
    </w:p>
    <w:p w14:paraId="7402B2CF" w14:textId="77777777" w:rsidR="003C50DA" w:rsidRPr="007D563A" w:rsidRDefault="003C50DA" w:rsidP="002E2723">
      <w:pPr>
        <w:spacing w:after="0" w:line="240" w:lineRule="auto"/>
        <w:ind w:left="284"/>
        <w:rPr>
          <w:rFonts w:ascii="Garamond" w:eastAsia="Garamond" w:hAnsi="Garamond" w:cs="Garamond"/>
          <w:b/>
          <w:color w:val="000000"/>
          <w:sz w:val="28"/>
          <w:szCs w:val="28"/>
          <w:lang w:val="it-IT"/>
        </w:rPr>
      </w:pPr>
    </w:p>
    <w:p w14:paraId="78B0F381" w14:textId="77777777" w:rsidR="007D563A" w:rsidRPr="007D563A" w:rsidRDefault="007D563A" w:rsidP="007D563A">
      <w:pPr>
        <w:spacing w:after="0" w:line="240" w:lineRule="auto"/>
        <w:rPr>
          <w:rFonts w:ascii="Garamond" w:eastAsiaTheme="minorHAnsi" w:hAnsi="Garamond" w:cs="Arial"/>
          <w:b/>
          <w:sz w:val="28"/>
          <w:szCs w:val="24"/>
          <w:highlight w:val="yellow"/>
          <w:lang w:val="it-IT" w:eastAsia="en-US"/>
        </w:rPr>
      </w:pPr>
    </w:p>
    <w:p w14:paraId="377AA4C2" w14:textId="77777777" w:rsidR="007D563A" w:rsidRPr="007D563A" w:rsidRDefault="007D563A" w:rsidP="007D563A">
      <w:pPr>
        <w:spacing w:after="0" w:line="240" w:lineRule="auto"/>
        <w:rPr>
          <w:rFonts w:ascii="Garamond" w:eastAsiaTheme="minorHAnsi" w:hAnsi="Garamond" w:cstheme="minorBidi"/>
          <w:smallCaps/>
          <w:sz w:val="24"/>
          <w:lang w:val="it-IT" w:eastAsia="en-US"/>
        </w:rPr>
      </w:pPr>
      <w:r w:rsidRPr="007D563A">
        <w:rPr>
          <w:rFonts w:ascii="Garamond" w:eastAsiaTheme="minorHAnsi" w:hAnsi="Garamond" w:cstheme="minorBidi"/>
          <w:smallCaps/>
          <w:sz w:val="24"/>
          <w:lang w:val="it-IT" w:eastAsia="en-US"/>
        </w:rPr>
        <w:t>Paola Giannoni, Giada Moretti, Stefano Poli</w:t>
      </w:r>
      <w:r w:rsidRPr="007D563A">
        <w:rPr>
          <w:rFonts w:ascii="Garamond" w:eastAsiaTheme="minorHAnsi" w:hAnsi="Garamond" w:cstheme="minorBidi"/>
          <w:smallCaps/>
          <w:sz w:val="24"/>
          <w:vertAlign w:val="superscript"/>
          <w:lang w:val="it-IT" w:eastAsia="en-US"/>
        </w:rPr>
        <w:t xml:space="preserve"> </w:t>
      </w:r>
      <w:r w:rsidRPr="007D563A">
        <w:rPr>
          <w:rFonts w:ascii="Garamond" w:eastAsiaTheme="minorHAnsi" w:hAnsi="Garamond" w:cstheme="minorBidi"/>
          <w:smallCaps/>
          <w:sz w:val="24"/>
          <w:vertAlign w:val="superscript"/>
          <w:lang w:val="it-IT" w:eastAsia="en-US"/>
        </w:rPr>
        <w:footnoteReference w:id="1"/>
      </w:r>
      <w:r w:rsidRPr="007D563A">
        <w:rPr>
          <w:rFonts w:ascii="Garamond" w:eastAsiaTheme="minorHAnsi" w:hAnsi="Garamond" w:cstheme="minorBidi"/>
          <w:smallCaps/>
          <w:sz w:val="24"/>
          <w:lang w:val="it-IT" w:eastAsia="en-US"/>
        </w:rPr>
        <w:t xml:space="preserve"> </w:t>
      </w:r>
    </w:p>
    <w:p w14:paraId="770F7AEB" w14:textId="77777777" w:rsidR="007D563A" w:rsidRPr="007D563A" w:rsidRDefault="007D563A" w:rsidP="007D563A">
      <w:pPr>
        <w:spacing w:after="0" w:line="240" w:lineRule="auto"/>
        <w:rPr>
          <w:rFonts w:ascii="Garamond" w:eastAsiaTheme="minorHAnsi" w:hAnsi="Garamond" w:cstheme="minorBidi"/>
          <w:bCs/>
          <w:smallCaps/>
          <w:sz w:val="24"/>
          <w:lang w:val="it-IT" w:eastAsia="en-US"/>
        </w:rPr>
      </w:pPr>
    </w:p>
    <w:p w14:paraId="73395E8F" w14:textId="77777777" w:rsidR="00B67E07" w:rsidRPr="00222269" w:rsidRDefault="00B67E07" w:rsidP="00B67E07">
      <w:pPr>
        <w:spacing w:after="0"/>
        <w:ind w:firstLine="397"/>
        <w:contextualSpacing/>
        <w:jc w:val="both"/>
        <w:rPr>
          <w:rFonts w:ascii="Garamond" w:hAnsi="Garamond"/>
          <w:sz w:val="24"/>
          <w:szCs w:val="24"/>
          <w:lang w:val="en-US"/>
        </w:rPr>
      </w:pPr>
    </w:p>
    <w:p w14:paraId="7AED871C" w14:textId="77777777" w:rsidR="00B67E07" w:rsidRPr="00C06BC7" w:rsidRDefault="00B67E07" w:rsidP="00B67E07">
      <w:pPr>
        <w:pBdr>
          <w:top w:val="single" w:sz="4" w:space="1" w:color="auto"/>
          <w:left w:val="single" w:sz="4" w:space="4" w:color="auto"/>
          <w:bottom w:val="single" w:sz="4" w:space="1" w:color="auto"/>
          <w:right w:val="single" w:sz="4" w:space="4" w:color="auto"/>
        </w:pBdr>
        <w:spacing w:after="0" w:line="240" w:lineRule="auto"/>
        <w:rPr>
          <w:rFonts w:ascii="Garamond" w:eastAsia="DengXian" w:hAnsi="Garamond" w:cs="Arial"/>
          <w:i/>
          <w:iCs/>
          <w:sz w:val="24"/>
          <w:szCs w:val="24"/>
          <w:lang w:val="en-US" w:eastAsia="zh-CN"/>
        </w:rPr>
      </w:pPr>
      <w:r w:rsidRPr="00C06BC7">
        <w:rPr>
          <w:rFonts w:ascii="Garamond" w:eastAsia="DengXian" w:hAnsi="Garamond" w:cs="Arial"/>
          <w:i/>
          <w:iCs/>
          <w:sz w:val="24"/>
          <w:szCs w:val="24"/>
          <w:lang w:val="en-US" w:eastAsia="zh-CN"/>
        </w:rPr>
        <w:t>This article has been accepted for publication and undergone full peer review but has not been through the copyediting, typesetting, pagination and proofreading process, which may lead to differences between this version and the Version of Record.</w:t>
      </w:r>
    </w:p>
    <w:p w14:paraId="0565446C" w14:textId="77777777" w:rsidR="00B67E07" w:rsidRPr="00C06BC7" w:rsidRDefault="00B67E07" w:rsidP="00B67E07">
      <w:pPr>
        <w:pBdr>
          <w:top w:val="single" w:sz="4" w:space="1" w:color="auto"/>
          <w:left w:val="single" w:sz="4" w:space="4" w:color="auto"/>
          <w:bottom w:val="single" w:sz="4" w:space="1" w:color="auto"/>
          <w:right w:val="single" w:sz="4" w:space="4" w:color="auto"/>
        </w:pBdr>
        <w:spacing w:after="0" w:line="240" w:lineRule="auto"/>
        <w:rPr>
          <w:rFonts w:ascii="Garamond" w:eastAsia="DengXian" w:hAnsi="Garamond" w:cs="Arial"/>
          <w:i/>
          <w:iCs/>
          <w:sz w:val="24"/>
          <w:szCs w:val="24"/>
          <w:lang w:val="en-US" w:eastAsia="zh-CN"/>
        </w:rPr>
      </w:pPr>
    </w:p>
    <w:p w14:paraId="18FE9178" w14:textId="77777777" w:rsidR="00B67E07" w:rsidRPr="00C06BC7" w:rsidRDefault="00B67E07" w:rsidP="00B67E07">
      <w:pPr>
        <w:pBdr>
          <w:top w:val="single" w:sz="4" w:space="1" w:color="auto"/>
          <w:left w:val="single" w:sz="4" w:space="4" w:color="auto"/>
          <w:bottom w:val="single" w:sz="4" w:space="1" w:color="auto"/>
          <w:right w:val="single" w:sz="4" w:space="4" w:color="auto"/>
        </w:pBdr>
        <w:spacing w:after="0" w:line="240" w:lineRule="auto"/>
        <w:rPr>
          <w:rFonts w:ascii="Garamond" w:eastAsia="DengXian" w:hAnsi="Garamond" w:cs="Arial"/>
          <w:i/>
          <w:iCs/>
          <w:sz w:val="24"/>
          <w:szCs w:val="24"/>
          <w:lang w:val="en-US" w:eastAsia="zh-CN"/>
        </w:rPr>
      </w:pPr>
      <w:r w:rsidRPr="00C06BC7">
        <w:rPr>
          <w:rFonts w:ascii="Garamond" w:eastAsia="DengXian" w:hAnsi="Garamond" w:cs="Arial"/>
          <w:i/>
          <w:iCs/>
          <w:sz w:val="24"/>
          <w:szCs w:val="24"/>
          <w:lang w:val="en-US" w:eastAsia="zh-CN"/>
        </w:rPr>
        <w:t>Please cite this article as:</w:t>
      </w:r>
    </w:p>
    <w:p w14:paraId="791F5ED7" w14:textId="77777777" w:rsidR="00B67E07" w:rsidRPr="00C06BC7" w:rsidRDefault="00B67E07" w:rsidP="00B67E07">
      <w:pPr>
        <w:pBdr>
          <w:top w:val="single" w:sz="4" w:space="1" w:color="auto"/>
          <w:left w:val="single" w:sz="4" w:space="4" w:color="auto"/>
          <w:bottom w:val="single" w:sz="4" w:space="1" w:color="auto"/>
          <w:right w:val="single" w:sz="4" w:space="4" w:color="auto"/>
        </w:pBdr>
        <w:spacing w:after="0" w:line="240" w:lineRule="auto"/>
        <w:rPr>
          <w:rFonts w:ascii="Garamond" w:eastAsia="DengXian" w:hAnsi="Garamond" w:cs="Arial"/>
          <w:i/>
          <w:iCs/>
          <w:sz w:val="24"/>
          <w:szCs w:val="24"/>
          <w:lang w:val="en-US" w:eastAsia="zh-CN"/>
        </w:rPr>
      </w:pPr>
    </w:p>
    <w:p w14:paraId="43864B6D" w14:textId="0A725FE7" w:rsidR="00B67E07" w:rsidRPr="00C25E47" w:rsidRDefault="007D563A" w:rsidP="00B67E07">
      <w:pPr>
        <w:pBdr>
          <w:top w:val="single" w:sz="4" w:space="1" w:color="auto"/>
          <w:left w:val="single" w:sz="4" w:space="4" w:color="auto"/>
          <w:bottom w:val="single" w:sz="4" w:space="1" w:color="auto"/>
          <w:right w:val="single" w:sz="4" w:space="4" w:color="auto"/>
        </w:pBdr>
        <w:spacing w:after="0" w:line="240" w:lineRule="auto"/>
        <w:rPr>
          <w:rFonts w:ascii="Garamond" w:eastAsia="DengXian" w:hAnsi="Garamond" w:cs="Arial"/>
          <w:i/>
          <w:iCs/>
          <w:sz w:val="24"/>
          <w:szCs w:val="24"/>
          <w:lang w:eastAsia="zh-CN"/>
        </w:rPr>
      </w:pPr>
      <w:r>
        <w:rPr>
          <w:rFonts w:ascii="Garamond" w:eastAsia="DengXian" w:hAnsi="Garamond" w:cs="Arial"/>
          <w:sz w:val="24"/>
          <w:szCs w:val="24"/>
          <w:lang w:val="it-IT" w:eastAsia="zh-CN"/>
        </w:rPr>
        <w:t>Giannoni P., Moretti G., Poli S.</w:t>
      </w:r>
      <w:r w:rsidR="00B67E07" w:rsidRPr="00AE374C">
        <w:rPr>
          <w:rFonts w:ascii="Garamond" w:eastAsia="DengXian" w:hAnsi="Garamond" w:cs="Arial"/>
          <w:sz w:val="24"/>
          <w:szCs w:val="24"/>
          <w:lang w:val="it-IT" w:eastAsia="zh-CN"/>
        </w:rPr>
        <w:t xml:space="preserve"> (202</w:t>
      </w:r>
      <w:r>
        <w:rPr>
          <w:rFonts w:ascii="Garamond" w:eastAsia="DengXian" w:hAnsi="Garamond" w:cs="Arial"/>
          <w:sz w:val="24"/>
          <w:szCs w:val="24"/>
          <w:lang w:val="it-IT" w:eastAsia="zh-CN"/>
        </w:rPr>
        <w:t>6</w:t>
      </w:r>
      <w:r w:rsidR="00B67E07" w:rsidRPr="00AE374C">
        <w:rPr>
          <w:rFonts w:ascii="Garamond" w:eastAsia="DengXian" w:hAnsi="Garamond" w:cs="Arial"/>
          <w:sz w:val="24"/>
          <w:szCs w:val="24"/>
          <w:lang w:val="it-IT" w:eastAsia="zh-CN"/>
        </w:rPr>
        <w:t>), «</w:t>
      </w:r>
      <w:r w:rsidRPr="007D563A">
        <w:rPr>
          <w:lang w:val="it-IT"/>
        </w:rPr>
        <w:t xml:space="preserve"> </w:t>
      </w:r>
      <w:r w:rsidRPr="007D563A">
        <w:rPr>
          <w:rFonts w:ascii="Garamond" w:eastAsia="DengXian" w:hAnsi="Garamond" w:cs="Arial"/>
          <w:sz w:val="24"/>
          <w:szCs w:val="24"/>
          <w:lang w:val="it-IT" w:eastAsia="zh-CN"/>
        </w:rPr>
        <w:t xml:space="preserve">L’ageismo nei contesti sociosanitari in Europa: una </w:t>
      </w:r>
      <w:proofErr w:type="spellStart"/>
      <w:r w:rsidRPr="007D563A">
        <w:rPr>
          <w:rFonts w:ascii="Garamond" w:eastAsia="DengXian" w:hAnsi="Garamond" w:cs="Arial"/>
          <w:i/>
          <w:iCs/>
          <w:sz w:val="24"/>
          <w:szCs w:val="24"/>
          <w:lang w:val="it-IT" w:eastAsia="zh-CN"/>
        </w:rPr>
        <w:t>scoping</w:t>
      </w:r>
      <w:proofErr w:type="spellEnd"/>
      <w:r w:rsidRPr="007D563A">
        <w:rPr>
          <w:rFonts w:ascii="Garamond" w:eastAsia="DengXian" w:hAnsi="Garamond" w:cs="Arial"/>
          <w:i/>
          <w:iCs/>
          <w:sz w:val="24"/>
          <w:szCs w:val="24"/>
          <w:lang w:val="it-IT" w:eastAsia="zh-CN"/>
        </w:rPr>
        <w:t xml:space="preserve"> review</w:t>
      </w:r>
      <w:r w:rsidR="00B67E07" w:rsidRPr="007D563A">
        <w:rPr>
          <w:rFonts w:ascii="Garamond" w:eastAsia="DengXian" w:hAnsi="Garamond" w:cs="Arial"/>
          <w:sz w:val="24"/>
          <w:szCs w:val="24"/>
          <w:lang w:val="it-IT" w:eastAsia="zh-CN"/>
        </w:rPr>
        <w:t>»,</w:t>
      </w:r>
      <w:r w:rsidR="00B67E07" w:rsidRPr="007D563A">
        <w:rPr>
          <w:rFonts w:ascii="Garamond" w:eastAsia="DengXian" w:hAnsi="Garamond" w:cs="Arial"/>
          <w:i/>
          <w:iCs/>
          <w:sz w:val="24"/>
          <w:szCs w:val="24"/>
          <w:lang w:val="it-IT" w:eastAsia="zh-CN"/>
        </w:rPr>
        <w:t xml:space="preserve"> SMP, Just </w:t>
      </w:r>
      <w:proofErr w:type="spellStart"/>
      <w:r w:rsidR="00B67E07" w:rsidRPr="007D563A">
        <w:rPr>
          <w:rFonts w:ascii="Garamond" w:eastAsia="DengXian" w:hAnsi="Garamond" w:cs="Arial"/>
          <w:i/>
          <w:iCs/>
          <w:sz w:val="24"/>
          <w:szCs w:val="24"/>
          <w:lang w:val="it-IT" w:eastAsia="zh-CN"/>
        </w:rPr>
        <w:t>Accepted</w:t>
      </w:r>
      <w:proofErr w:type="spellEnd"/>
      <w:r w:rsidR="00B67E07" w:rsidRPr="007D563A">
        <w:rPr>
          <w:rFonts w:ascii="Garamond" w:eastAsia="DengXian" w:hAnsi="Garamond" w:cs="Arial"/>
          <w:i/>
          <w:iCs/>
          <w:sz w:val="24"/>
          <w:szCs w:val="24"/>
          <w:lang w:val="it-IT" w:eastAsia="zh-CN"/>
        </w:rPr>
        <w:t xml:space="preserve">. </w:t>
      </w:r>
      <w:r w:rsidR="00B67E07" w:rsidRPr="00080FBA">
        <w:rPr>
          <w:rFonts w:ascii="Garamond" w:eastAsia="DengXian" w:hAnsi="Garamond" w:cs="Arial"/>
          <w:sz w:val="24"/>
          <w:szCs w:val="24"/>
          <w:lang w:eastAsia="zh-CN"/>
        </w:rPr>
        <w:t>DOI:</w:t>
      </w:r>
      <w:r w:rsidR="00910029" w:rsidRPr="00080FBA">
        <w:rPr>
          <w:rFonts w:ascii="Noto Sans" w:hAnsi="Noto Sans" w:cs="Noto Sans"/>
          <w:sz w:val="21"/>
          <w:szCs w:val="21"/>
          <w:shd w:val="clear" w:color="auto" w:fill="FFFFFF"/>
        </w:rPr>
        <w:t xml:space="preserve"> </w:t>
      </w:r>
      <w:r w:rsidR="00910029" w:rsidRPr="00C34FB7">
        <w:rPr>
          <w:rFonts w:ascii="Garamond" w:eastAsia="DengXian" w:hAnsi="Garamond" w:cs="Arial"/>
          <w:sz w:val="24"/>
          <w:szCs w:val="24"/>
          <w:lang w:eastAsia="zh-CN"/>
        </w:rPr>
        <w:t>10.36253/smp-1</w:t>
      </w:r>
      <w:r w:rsidR="00C34FB7" w:rsidRPr="00C34FB7">
        <w:rPr>
          <w:rFonts w:ascii="Garamond" w:eastAsia="DengXian" w:hAnsi="Garamond" w:cs="Arial"/>
          <w:sz w:val="24"/>
          <w:szCs w:val="24"/>
          <w:lang w:eastAsia="zh-CN"/>
        </w:rPr>
        <w:t>7097</w:t>
      </w:r>
    </w:p>
    <w:p w14:paraId="12086F0A" w14:textId="77777777" w:rsidR="00B67E07" w:rsidRPr="00C25E47" w:rsidRDefault="00B67E07" w:rsidP="00B67E07">
      <w:pPr>
        <w:spacing w:after="0"/>
        <w:contextualSpacing/>
        <w:rPr>
          <w:rFonts w:ascii="Garamond" w:hAnsi="Garamond"/>
          <w:caps/>
          <w:sz w:val="24"/>
          <w:szCs w:val="24"/>
        </w:rPr>
      </w:pPr>
    </w:p>
    <w:p w14:paraId="3FA354E0" w14:textId="77777777" w:rsidR="003C50DA" w:rsidRDefault="003C50DA" w:rsidP="003572C7">
      <w:pPr>
        <w:spacing w:after="0" w:line="240" w:lineRule="auto"/>
        <w:rPr>
          <w:rFonts w:ascii="Garamond" w:eastAsia="Garamond" w:hAnsi="Garamond" w:cs="Garamond"/>
          <w:b/>
          <w:color w:val="000000"/>
          <w:sz w:val="28"/>
          <w:szCs w:val="28"/>
        </w:rPr>
      </w:pPr>
    </w:p>
    <w:p w14:paraId="7696C28C" w14:textId="77777777" w:rsidR="003C50DA" w:rsidRDefault="003C50DA" w:rsidP="003C50DA">
      <w:pPr>
        <w:spacing w:after="0" w:line="240" w:lineRule="auto"/>
        <w:jc w:val="both"/>
        <w:rPr>
          <w:rFonts w:ascii="Garamond" w:eastAsia="Garamond" w:hAnsi="Garamond" w:cs="Garamond"/>
          <w:sz w:val="20"/>
          <w:szCs w:val="20"/>
        </w:rPr>
      </w:pPr>
      <w:bookmarkStart w:id="0" w:name="_heading=h.jaepzx1xpzru" w:colFirst="0" w:colLast="0"/>
      <w:bookmarkEnd w:id="0"/>
    </w:p>
    <w:p w14:paraId="099DE2C7" w14:textId="77777777" w:rsidR="007D563A" w:rsidRPr="007D563A" w:rsidRDefault="003C50DA" w:rsidP="007D563A">
      <w:pPr>
        <w:pBdr>
          <w:top w:val="nil"/>
          <w:left w:val="nil"/>
          <w:bottom w:val="nil"/>
          <w:right w:val="nil"/>
          <w:between w:val="nil"/>
        </w:pBdr>
        <w:spacing w:after="0" w:line="240" w:lineRule="auto"/>
        <w:jc w:val="both"/>
        <w:rPr>
          <w:rFonts w:ascii="Garamond" w:eastAsia="Garamond" w:hAnsi="Garamond" w:cs="Garamond"/>
          <w:sz w:val="20"/>
          <w:szCs w:val="20"/>
        </w:rPr>
      </w:pPr>
      <w:bookmarkStart w:id="1" w:name="_heading=h.sxjywfngfgsb" w:colFirst="0" w:colLast="0"/>
      <w:bookmarkEnd w:id="1"/>
      <w:r w:rsidRPr="003C50DA">
        <w:rPr>
          <w:rFonts w:ascii="Garamond" w:eastAsia="Garamond" w:hAnsi="Garamond" w:cs="Garamond"/>
          <w:b/>
          <w:bCs/>
          <w:sz w:val="20"/>
          <w:szCs w:val="20"/>
        </w:rPr>
        <w:t>Abstract.</w:t>
      </w:r>
      <w:r>
        <w:rPr>
          <w:rFonts w:ascii="Garamond" w:eastAsia="Garamond" w:hAnsi="Garamond" w:cs="Garamond"/>
          <w:sz w:val="20"/>
          <w:szCs w:val="20"/>
        </w:rPr>
        <w:t xml:space="preserve"> </w:t>
      </w:r>
      <w:r w:rsidR="007D563A" w:rsidRPr="007D563A">
        <w:rPr>
          <w:rFonts w:ascii="Garamond" w:eastAsia="Garamond" w:hAnsi="Garamond" w:cs="Garamond"/>
          <w:sz w:val="20"/>
          <w:szCs w:val="20"/>
        </w:rPr>
        <w:t>Ageism is a widespread, complex form of discrimination negatively affecting older adults’ health, well-being, and access to healthcare and social services. In rapidly ageing societies, particularly in Europe, it has become a critical social determinant of health, shaping clinical decision-making, professional practices, organizational routines and health policies. Despite growing research on ageism, evidence remains fragmented, highlighting the need for systematic synthesis. This scoping review maps recent literature on ageism toward older adults in healthcare and social care settings. Searches were conducted in Scopus and PubMed for peer-reviewed articles published between 2021 and 2025, following the COVID-19 emergency. Fifty-five studies in European contexts were included and analysed using Template Analysis with MAXQDA. Findings show that ageism operates across four interrelated levels: internalized/self-ageism, individual/interpersonal, institutional/organizational, and structural/systemic. These levels are associated with a range of specific outcomes: internalized stereotypes, psychological distress, compromised clinical communication, ethical implications, biased service design, health and digital inequalities. While educational and organizational efforts are effective, they remain insufficient. Addressing ageism requires integrated, multilevel strategies, combining education, organizational change, policy interventions, and age-inclusive technological design.</w:t>
      </w:r>
    </w:p>
    <w:p w14:paraId="0911925C" w14:textId="77777777" w:rsidR="007D563A" w:rsidRPr="007D563A" w:rsidRDefault="007D563A" w:rsidP="007D563A">
      <w:pPr>
        <w:pBdr>
          <w:top w:val="nil"/>
          <w:left w:val="nil"/>
          <w:bottom w:val="nil"/>
          <w:right w:val="nil"/>
          <w:between w:val="nil"/>
        </w:pBdr>
        <w:spacing w:after="0" w:line="240" w:lineRule="auto"/>
        <w:jc w:val="both"/>
        <w:rPr>
          <w:rFonts w:ascii="Garamond" w:eastAsia="Garamond" w:hAnsi="Garamond" w:cs="Garamond"/>
          <w:sz w:val="20"/>
          <w:szCs w:val="20"/>
        </w:rPr>
      </w:pPr>
    </w:p>
    <w:p w14:paraId="10B26F12" w14:textId="02289164" w:rsidR="003C50DA" w:rsidRDefault="007D563A" w:rsidP="007D563A">
      <w:pPr>
        <w:pBdr>
          <w:top w:val="nil"/>
          <w:left w:val="nil"/>
          <w:bottom w:val="nil"/>
          <w:right w:val="nil"/>
          <w:between w:val="nil"/>
        </w:pBdr>
        <w:spacing w:after="0" w:line="240" w:lineRule="auto"/>
        <w:jc w:val="both"/>
        <w:rPr>
          <w:rFonts w:ascii="Garamond" w:eastAsia="Garamond" w:hAnsi="Garamond" w:cs="Garamond"/>
          <w:sz w:val="20"/>
          <w:szCs w:val="20"/>
        </w:rPr>
      </w:pPr>
      <w:r w:rsidRPr="007D563A">
        <w:rPr>
          <w:rFonts w:ascii="Garamond" w:eastAsia="Garamond" w:hAnsi="Garamond" w:cs="Garamond"/>
          <w:b/>
          <w:bCs/>
          <w:sz w:val="20"/>
          <w:szCs w:val="20"/>
        </w:rPr>
        <w:t>Key words:</w:t>
      </w:r>
      <w:r w:rsidRPr="007D563A">
        <w:rPr>
          <w:rFonts w:ascii="Garamond" w:eastAsia="Garamond" w:hAnsi="Garamond" w:cs="Garamond"/>
          <w:sz w:val="20"/>
          <w:szCs w:val="20"/>
        </w:rPr>
        <w:t xml:space="preserve"> Ageism, Older adults, Healthcare, Social care, Scoping review</w:t>
      </w:r>
      <w:r w:rsidR="003C50DA">
        <w:rPr>
          <w:rFonts w:ascii="Garamond" w:eastAsia="Garamond" w:hAnsi="Garamond" w:cs="Garamond"/>
          <w:sz w:val="20"/>
          <w:szCs w:val="20"/>
        </w:rPr>
        <w:t>.</w:t>
      </w:r>
    </w:p>
    <w:p w14:paraId="285BC2E8" w14:textId="77777777" w:rsidR="003C50DA" w:rsidRDefault="003C50DA" w:rsidP="003C50DA">
      <w:pPr>
        <w:pBdr>
          <w:top w:val="nil"/>
          <w:left w:val="nil"/>
          <w:bottom w:val="nil"/>
          <w:right w:val="nil"/>
          <w:between w:val="nil"/>
        </w:pBdr>
        <w:spacing w:after="0" w:line="240" w:lineRule="auto"/>
        <w:jc w:val="both"/>
        <w:rPr>
          <w:rFonts w:ascii="Garamond" w:eastAsia="Garamond" w:hAnsi="Garamond" w:cs="Garamond"/>
          <w:sz w:val="20"/>
          <w:szCs w:val="20"/>
        </w:rPr>
      </w:pPr>
      <w:bookmarkStart w:id="2" w:name="_heading=h.1w1fo7x91x9c" w:colFirst="0" w:colLast="0"/>
      <w:bookmarkEnd w:id="2"/>
    </w:p>
    <w:p w14:paraId="63510F0D" w14:textId="303B39C6" w:rsidR="003C50DA" w:rsidRDefault="003C50DA" w:rsidP="003C50DA">
      <w:pPr>
        <w:spacing w:after="0" w:line="240" w:lineRule="auto"/>
        <w:rPr>
          <w:rFonts w:ascii="Arial" w:eastAsia="Arial" w:hAnsi="Arial" w:cs="Arial"/>
          <w:sz w:val="24"/>
          <w:szCs w:val="24"/>
        </w:rPr>
      </w:pPr>
      <w:r>
        <w:rPr>
          <w:rFonts w:ascii="Garamond" w:eastAsia="Garamond" w:hAnsi="Garamond" w:cs="Garamond"/>
          <w:sz w:val="20"/>
          <w:szCs w:val="20"/>
        </w:rPr>
        <w:t xml:space="preserve">. </w:t>
      </w:r>
    </w:p>
    <w:p w14:paraId="19034C69" w14:textId="77777777" w:rsidR="003C50DA" w:rsidRDefault="003C50DA" w:rsidP="002E2723">
      <w:pPr>
        <w:spacing w:after="0" w:line="240" w:lineRule="auto"/>
        <w:ind w:left="284"/>
        <w:rPr>
          <w:rFonts w:ascii="Garamond" w:eastAsia="Garamond" w:hAnsi="Garamond" w:cs="Garamond"/>
          <w:b/>
          <w:color w:val="000000"/>
          <w:sz w:val="28"/>
          <w:szCs w:val="28"/>
        </w:rPr>
      </w:pPr>
    </w:p>
    <w:p w14:paraId="00000003" w14:textId="77777777" w:rsidR="00D074F3" w:rsidRDefault="00D074F3">
      <w:pPr>
        <w:spacing w:after="0" w:line="240" w:lineRule="auto"/>
        <w:jc w:val="both"/>
        <w:rPr>
          <w:rFonts w:ascii="Garamond" w:eastAsia="Garamond" w:hAnsi="Garamond" w:cs="Garamond"/>
          <w:b/>
          <w:color w:val="000000"/>
          <w:sz w:val="28"/>
          <w:szCs w:val="28"/>
        </w:rPr>
      </w:pPr>
    </w:p>
    <w:p w14:paraId="28CC0248" w14:textId="77777777" w:rsidR="007D563A" w:rsidRPr="007D563A" w:rsidRDefault="007D563A" w:rsidP="007D563A">
      <w:pPr>
        <w:spacing w:after="0" w:line="240" w:lineRule="auto"/>
        <w:jc w:val="center"/>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1. INTRODUCTION</w:t>
      </w:r>
    </w:p>
    <w:p w14:paraId="35804858" w14:textId="77777777" w:rsidR="007D563A" w:rsidRPr="007D563A" w:rsidRDefault="007D563A" w:rsidP="007D563A">
      <w:pPr>
        <w:spacing w:after="0" w:line="240" w:lineRule="auto"/>
        <w:jc w:val="both"/>
        <w:rPr>
          <w:rFonts w:ascii="Garamond" w:eastAsiaTheme="minorHAnsi" w:hAnsi="Garamond" w:cs="Arial"/>
          <w:sz w:val="24"/>
          <w:szCs w:val="24"/>
          <w:lang w:val="en-US" w:eastAsia="en-US"/>
        </w:rPr>
      </w:pPr>
    </w:p>
    <w:p w14:paraId="156416B0" w14:textId="77777777" w:rsidR="007D563A" w:rsidRPr="007D563A" w:rsidRDefault="007D563A" w:rsidP="007D563A">
      <w:pPr>
        <w:spacing w:after="0" w:line="240" w:lineRule="auto"/>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The concept of ageism, first introduced by Butler (1969), refers to discrimination based on age and was defined as “prejudice by one age group toward other age groups” (Butler, 1969: 243), rooted in fears of ageing, decline, and loss of social value. Although initially conceived as applicable across the lifespan, the term is now predominantly used to describe negative attitudes and practices directed toward older adults. Thus, beyond multidimensional theoretical approaches to generative patterns and predictive factors (Bytheway, 1995; COST, 2015; Snellman, 2016),</w:t>
      </w:r>
      <w:r w:rsidRPr="007D563A" w:rsidDel="006A181E">
        <w:rPr>
          <w:rFonts w:ascii="Garamond" w:eastAsiaTheme="minorHAnsi" w:hAnsi="Garamond" w:cs="Arial"/>
          <w:sz w:val="24"/>
          <w:szCs w:val="24"/>
          <w:lang w:val="en-US" w:eastAsia="en-US"/>
        </w:rPr>
        <w:t xml:space="preserve"> </w:t>
      </w:r>
      <w:r w:rsidRPr="007D563A">
        <w:rPr>
          <w:rFonts w:ascii="Garamond" w:eastAsiaTheme="minorHAnsi" w:hAnsi="Garamond" w:cs="Arial"/>
          <w:sz w:val="24"/>
          <w:szCs w:val="24"/>
          <w:lang w:val="en-US" w:eastAsia="en-US"/>
        </w:rPr>
        <w:t>ageism can be broadly defined as a set of stereotypes, prejudices, and discriminatory practices that negatively affect older people’s self-esteem, well-being, and social recognition (WHO, 2021; Paoletti, 2024).</w:t>
      </w:r>
    </w:p>
    <w:p w14:paraId="3BC712B0"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lastRenderedPageBreak/>
        <w:t>Attention to ageism has grown alongside the rapid demographic shift toward older populations, particularly in Europe, one of the world’s oldest regions. As of 2024, individuals aged 65 and over accounted for 21.6% of the EU-27 population, with an old-age dependency ratio of 37% (Eurostat, 2025), and further ageing projected through 2050 (UN, 2024; WHO, 2025). These demographic trends pose significant challenges for health and social care systems, increasing demand for chronic care and long-term support while potentially intensifying ageist practices under conditions of resource constraint (</w:t>
      </w:r>
      <w:proofErr w:type="spellStart"/>
      <w:r w:rsidRPr="007D563A">
        <w:rPr>
          <w:rFonts w:ascii="Garamond" w:eastAsiaTheme="minorHAnsi" w:hAnsi="Garamond" w:cs="Arial"/>
          <w:sz w:val="24"/>
          <w:szCs w:val="24"/>
          <w:lang w:val="en-US" w:eastAsia="en-US"/>
        </w:rPr>
        <w:t>Mikton</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2021).</w:t>
      </w:r>
    </w:p>
    <w:p w14:paraId="5F24BEFB"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 xml:space="preserve">In healthcare and social care contexts, </w:t>
      </w:r>
      <w:proofErr w:type="gramStart"/>
      <w:r w:rsidRPr="007D563A">
        <w:rPr>
          <w:rFonts w:ascii="Garamond" w:eastAsiaTheme="minorHAnsi" w:hAnsi="Garamond" w:cs="Arial"/>
          <w:sz w:val="24"/>
          <w:szCs w:val="24"/>
          <w:lang w:val="en-US" w:eastAsia="en-US"/>
        </w:rPr>
        <w:t>ageism</w:t>
      </w:r>
      <w:proofErr w:type="gramEnd"/>
      <w:r w:rsidRPr="007D563A">
        <w:rPr>
          <w:rFonts w:ascii="Garamond" w:eastAsiaTheme="minorHAnsi" w:hAnsi="Garamond" w:cs="Arial"/>
          <w:sz w:val="24"/>
          <w:szCs w:val="24"/>
          <w:lang w:val="en-US" w:eastAsia="en-US"/>
        </w:rPr>
        <w:t xml:space="preserve"> operates at multiple levels, shaping clinical interactions, organizational routines, and institutional norms. Empirical evidence shows that age-based stereotypes influence clinical judgment and care pathways, contributing to symptom under-recognition, restricted access to diagnostics or treatments, and age-based prioritization rather than need-based decision-making (Chrisler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2016; Chang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2020). These mechanisms disproportionately affect older adults with complex or chronic conditions.</w:t>
      </w:r>
    </w:p>
    <w:p w14:paraId="1FBF833E"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 xml:space="preserve">Beyond formal care settings, ageism also manifests through everyday interactions and personal beliefs. Older adults may internalize negative age stereotypes, which are associated with poorer mental health, reduced autonomy, lower social participation, and diminished engagement in health-promoting </w:t>
      </w:r>
      <w:proofErr w:type="spellStart"/>
      <w:r w:rsidRPr="007D563A">
        <w:rPr>
          <w:rFonts w:ascii="Garamond" w:eastAsiaTheme="minorHAnsi" w:hAnsi="Garamond" w:cs="Arial"/>
          <w:sz w:val="24"/>
          <w:szCs w:val="24"/>
          <w:lang w:val="en-US" w:eastAsia="en-US"/>
        </w:rPr>
        <w:t>behaviours</w:t>
      </w:r>
      <w:proofErr w:type="spellEnd"/>
      <w:r w:rsidRPr="007D563A">
        <w:rPr>
          <w:rFonts w:ascii="Garamond" w:eastAsiaTheme="minorHAnsi" w:hAnsi="Garamond" w:cs="Arial"/>
          <w:sz w:val="24"/>
          <w:szCs w:val="24"/>
          <w:lang w:val="en-US" w:eastAsia="en-US"/>
        </w:rPr>
        <w:t xml:space="preserve"> (Levy, 2017; McDarby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w:t>
      </w:r>
    </w:p>
    <w:p w14:paraId="111AB61F"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Above all, public discourse and institutional communication often reinforce representations of older adults as uniformly frail or dependent, a tendency particularly amplified during the COVID-19 pandemic, when age-based policies legitimized paternalistic and restrictive practices (</w:t>
      </w:r>
      <w:proofErr w:type="spellStart"/>
      <w:r w:rsidRPr="007D563A">
        <w:rPr>
          <w:rFonts w:ascii="Garamond" w:eastAsiaTheme="minorHAnsi" w:hAnsi="Garamond" w:cs="Arial"/>
          <w:sz w:val="24"/>
          <w:szCs w:val="24"/>
          <w:lang w:val="en-US" w:eastAsia="en-US"/>
        </w:rPr>
        <w:t>Previtali</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2020; Poli, 2020; Ayalon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2021).</w:t>
      </w:r>
    </w:p>
    <w:p w14:paraId="48C97982"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 xml:space="preserve">Thus, despite the growing body of research on ageism, existing evidence remains fragmented across disciplines, settings, and methodological approaches, with limited integration between theoretical frameworks and empirical operationalization. </w:t>
      </w:r>
      <w:proofErr w:type="gramStart"/>
      <w:r w:rsidRPr="007D563A">
        <w:rPr>
          <w:rFonts w:ascii="Garamond" w:eastAsiaTheme="minorHAnsi" w:hAnsi="Garamond" w:cs="Arial"/>
          <w:sz w:val="24"/>
          <w:szCs w:val="24"/>
          <w:lang w:val="en-US" w:eastAsia="en-US"/>
        </w:rPr>
        <w:t>In particular, studies</w:t>
      </w:r>
      <w:proofErr w:type="gramEnd"/>
      <w:r w:rsidRPr="007D563A">
        <w:rPr>
          <w:rFonts w:ascii="Garamond" w:eastAsiaTheme="minorHAnsi" w:hAnsi="Garamond" w:cs="Arial"/>
          <w:sz w:val="24"/>
          <w:szCs w:val="24"/>
          <w:lang w:val="en-US" w:eastAsia="en-US"/>
        </w:rPr>
        <w:t xml:space="preserve"> addressing ageism in healthcare and social care often focus on isolated outcomes or single levels of analysis, while comparatively less attention has been paid to how ageism is measured, translated into professional practices, and addressed through training and organizational interventions, especially in the post-pandemic European context.</w:t>
      </w:r>
    </w:p>
    <w:p w14:paraId="74475D8B"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 xml:space="preserve">Accordingly, this scoping review aims to systematically map recent evidence on ageism toward older adults in healthcare and social care settings, with particular attention to post-pandemic theoretical mainstreams in Europe, and a specific focus on measurement approaches, professional training initiatives, and documented outcomes of ageism, </w:t>
      </w:r>
      <w:proofErr w:type="gramStart"/>
      <w:r w:rsidRPr="007D563A">
        <w:rPr>
          <w:rFonts w:ascii="Garamond" w:eastAsiaTheme="minorHAnsi" w:hAnsi="Garamond" w:cs="Arial"/>
          <w:sz w:val="24"/>
          <w:szCs w:val="24"/>
          <w:lang w:val="en-US" w:eastAsia="en-US"/>
        </w:rPr>
        <w:t>in order to</w:t>
      </w:r>
      <w:proofErr w:type="gramEnd"/>
      <w:r w:rsidRPr="007D563A">
        <w:rPr>
          <w:rFonts w:ascii="Garamond" w:eastAsiaTheme="minorHAnsi" w:hAnsi="Garamond" w:cs="Arial"/>
          <w:sz w:val="24"/>
          <w:szCs w:val="24"/>
          <w:lang w:val="en-US" w:eastAsia="en-US"/>
        </w:rPr>
        <w:t xml:space="preserve"> inform future research, policy, and practice.</w:t>
      </w:r>
    </w:p>
    <w:p w14:paraId="70DC9E38"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p>
    <w:p w14:paraId="5AAECCF1" w14:textId="77777777" w:rsidR="007D563A" w:rsidRPr="007D563A" w:rsidRDefault="007D563A" w:rsidP="007D563A">
      <w:pPr>
        <w:spacing w:after="0" w:line="240" w:lineRule="auto"/>
        <w:ind w:firstLine="284"/>
        <w:jc w:val="center"/>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2. OBJECTIVES OF THE SCOPING REVIEW</w:t>
      </w:r>
    </w:p>
    <w:p w14:paraId="7EF92A77" w14:textId="77777777" w:rsidR="007D563A" w:rsidRPr="007D563A" w:rsidRDefault="007D563A" w:rsidP="007D563A">
      <w:pPr>
        <w:spacing w:after="0" w:line="240" w:lineRule="auto"/>
        <w:ind w:firstLine="284"/>
        <w:jc w:val="center"/>
        <w:rPr>
          <w:rFonts w:ascii="Garamond" w:eastAsiaTheme="minorHAnsi" w:hAnsi="Garamond" w:cstheme="minorBidi"/>
          <w:bCs/>
          <w:sz w:val="24"/>
          <w:lang w:val="en-US" w:eastAsia="en-US"/>
        </w:rPr>
      </w:pPr>
    </w:p>
    <w:p w14:paraId="37DF0D2B" w14:textId="77777777" w:rsidR="007D563A" w:rsidRPr="007D563A" w:rsidRDefault="007D563A" w:rsidP="007D563A">
      <w:pPr>
        <w:spacing w:after="0" w:line="240" w:lineRule="auto"/>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This contribution considers the socio-healthcare domain broadly, encompassing clinical and community-based services, the validation of research and diagnostic instruments, educational contexts (university-level or specialist training) for health professionals, and experimental studies, including those involving artificial intelligence.</w:t>
      </w:r>
    </w:p>
    <w:p w14:paraId="030900DE"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The primary objective of the review is to provide a structured and comprehensive classification of recent studies addressing ageism in later life within healthcare and social care sectors. To this end, a scoping review methodology was adopted in accordance with the PRISMA extension for Scoping Reviews (PRISMA-</w:t>
      </w:r>
      <w:proofErr w:type="spellStart"/>
      <w:r w:rsidRPr="007D563A">
        <w:rPr>
          <w:rFonts w:ascii="Garamond" w:eastAsiaTheme="minorHAnsi" w:hAnsi="Garamond" w:cs="Arial"/>
          <w:sz w:val="24"/>
          <w:szCs w:val="24"/>
          <w:lang w:val="en-US" w:eastAsia="en-US"/>
        </w:rPr>
        <w:t>ScR</w:t>
      </w:r>
      <w:proofErr w:type="spellEnd"/>
      <w:r w:rsidRPr="007D563A">
        <w:rPr>
          <w:rFonts w:ascii="Garamond" w:eastAsiaTheme="minorHAnsi" w:hAnsi="Garamond" w:cs="Arial"/>
          <w:sz w:val="24"/>
          <w:szCs w:val="24"/>
          <w:lang w:val="en-US" w:eastAsia="en-US"/>
        </w:rPr>
        <w:t>) guidelines (</w:t>
      </w:r>
      <w:proofErr w:type="spellStart"/>
      <w:r w:rsidRPr="007D563A">
        <w:rPr>
          <w:rFonts w:ascii="Garamond" w:eastAsiaTheme="minorHAnsi" w:hAnsi="Garamond" w:cs="Arial"/>
          <w:sz w:val="24"/>
          <w:szCs w:val="24"/>
          <w:lang w:val="en-US" w:eastAsia="en-US"/>
        </w:rPr>
        <w:t>Tricco</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 xml:space="preserve">et al. </w:t>
      </w:r>
      <w:r w:rsidRPr="007D563A">
        <w:rPr>
          <w:rFonts w:ascii="Garamond" w:eastAsiaTheme="minorHAnsi" w:hAnsi="Garamond" w:cs="Arial"/>
          <w:sz w:val="24"/>
          <w:szCs w:val="24"/>
          <w:lang w:val="en-US" w:eastAsia="en-US"/>
        </w:rPr>
        <w:t xml:space="preserve">2018). This approach is particularly suited to mapping heterogeneous bodies of evidence, clarifying key concepts, examining methodological approaches, and identifying research gaps (Peters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2017; Munn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2018). Moreover, scoping reviews allow for the inclusion and comparison of studies adopting diverse research designs and epistemological perspectives (Pham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2014).</w:t>
      </w:r>
      <w:r w:rsidRPr="007D563A" w:rsidDel="0071054B">
        <w:rPr>
          <w:rFonts w:ascii="Garamond" w:eastAsiaTheme="minorHAnsi" w:hAnsi="Garamond" w:cs="Arial"/>
          <w:sz w:val="24"/>
          <w:szCs w:val="24"/>
          <w:lang w:val="en-US" w:eastAsia="en-US"/>
        </w:rPr>
        <w:t xml:space="preserve"> </w:t>
      </w:r>
      <w:r w:rsidRPr="007D563A">
        <w:rPr>
          <w:rFonts w:ascii="Garamond" w:eastAsiaTheme="minorHAnsi" w:hAnsi="Garamond" w:cs="Arial"/>
          <w:sz w:val="24"/>
          <w:szCs w:val="24"/>
          <w:lang w:val="en-US" w:eastAsia="en-US"/>
        </w:rPr>
        <w:t xml:space="preserve">Relevant studies were identified through searches in the Scopus and PubMed databases. Articles were included if they contained the terms “ageism” </w:t>
      </w:r>
      <w:r w:rsidRPr="007D563A">
        <w:rPr>
          <w:rFonts w:ascii="Garamond" w:eastAsiaTheme="minorHAnsi" w:hAnsi="Garamond" w:cs="Arial"/>
          <w:sz w:val="24"/>
          <w:szCs w:val="24"/>
          <w:lang w:val="en-US" w:eastAsia="en-US"/>
        </w:rPr>
        <w:lastRenderedPageBreak/>
        <w:t>AND “health” AND (“older” OR “elder*”), were published between 2021 and 2025 (following the end of the global pandemic emergency), written in English, published (excluding “in press” articles), available in full text, involved populations aged &gt;60, and were conducted in or explicitly referred to European or North American contexts</w:t>
      </w:r>
      <w:r w:rsidRPr="007D563A" w:rsidDel="0071054B">
        <w:rPr>
          <w:rFonts w:ascii="Garamond" w:eastAsiaTheme="minorHAnsi" w:hAnsi="Garamond" w:cs="Arial"/>
          <w:sz w:val="24"/>
          <w:szCs w:val="24"/>
          <w:lang w:val="en-US" w:eastAsia="en-US"/>
        </w:rPr>
        <w:t xml:space="preserve"> </w:t>
      </w:r>
      <w:r w:rsidRPr="007D563A">
        <w:rPr>
          <w:rFonts w:ascii="Garamond" w:eastAsiaTheme="minorHAnsi" w:hAnsi="Garamond" w:cs="Arial"/>
          <w:sz w:val="24"/>
          <w:szCs w:val="24"/>
          <w:lang w:val="en-US" w:eastAsia="en-US"/>
        </w:rPr>
        <w:t>(given the limited availability of accurate territorial filters in PubMed). A wide range of publication types was considered, including empirical studies, reviews, clinical trials, evaluation and validation studies, and practice-oriented contributions.</w:t>
      </w:r>
    </w:p>
    <w:p w14:paraId="10EF1610" w14:textId="5FAB8D81"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The initial search yielded 213 records, of which 6 duplicates were removed.</w:t>
      </w:r>
      <w:r w:rsidRPr="007D563A" w:rsidDel="0071054B">
        <w:rPr>
          <w:rFonts w:ascii="Garamond" w:eastAsiaTheme="minorHAnsi" w:hAnsi="Garamond" w:cs="Arial"/>
          <w:sz w:val="24"/>
          <w:szCs w:val="24"/>
          <w:lang w:val="en-US" w:eastAsia="en-US"/>
        </w:rPr>
        <w:t xml:space="preserve"> </w:t>
      </w:r>
      <w:r w:rsidRPr="007D563A">
        <w:rPr>
          <w:rFonts w:ascii="Garamond" w:eastAsiaTheme="minorHAnsi" w:hAnsi="Garamond" w:cs="Arial"/>
          <w:sz w:val="24"/>
          <w:szCs w:val="24"/>
          <w:lang w:val="en-US" w:eastAsia="en-US"/>
        </w:rPr>
        <w:t xml:space="preserve">The remaining 207 titles and abstracts were screened, excluding 148 articles that did not meet the predefined classification criteria. Screening and classification were performed by three independent reviewers who assigned binary scores (1 = present; 0 = absent) for three criteria: target population (i.e., recipients of ageist behaviors or internalized ageism), concept (ageism conceptualized as attitudes or practices enacted by healthcare or social care professionals, including studies validating relevant measurement instruments), and context (hospital settings, community-based social care services, or professional training aimed at counteracting ageism) (Grosse &amp; </w:t>
      </w:r>
      <w:proofErr w:type="spellStart"/>
      <w:r w:rsidRPr="007D563A">
        <w:rPr>
          <w:rFonts w:ascii="Garamond" w:eastAsiaTheme="minorHAnsi" w:hAnsi="Garamond" w:cs="Arial"/>
          <w:sz w:val="24"/>
          <w:szCs w:val="24"/>
          <w:lang w:val="en-US" w:eastAsia="en-US"/>
        </w:rPr>
        <w:t>Kokorelias</w:t>
      </w:r>
      <w:proofErr w:type="spellEnd"/>
      <w:r w:rsidRPr="007D563A">
        <w:rPr>
          <w:rFonts w:ascii="Garamond" w:eastAsiaTheme="minorHAnsi" w:hAnsi="Garamond" w:cs="Arial"/>
          <w:sz w:val="24"/>
          <w:szCs w:val="24"/>
          <w:lang w:val="en-US" w:eastAsia="en-US"/>
        </w:rPr>
        <w:t xml:space="preserve">, 2025; Springer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Only studies achieving the maximum cumulative score of 9/9 were retained. Geographical relevance was ultimately confirmed through full-text screening, in line with established scoping review practices. Therefore, a final territorial screening was applied, restricting the review to studies conducted in Europe, given its advanced demographic ageing and relevance for the analytical framework adopted.</w:t>
      </w:r>
    </w:p>
    <w:p w14:paraId="69E0B9C8" w14:textId="77777777" w:rsidR="007D563A" w:rsidRPr="007D563A" w:rsidRDefault="007D563A" w:rsidP="007D563A">
      <w:pPr>
        <w:spacing w:after="0" w:line="240" w:lineRule="auto"/>
        <w:jc w:val="both"/>
        <w:rPr>
          <w:rFonts w:ascii="Garamond" w:eastAsiaTheme="minorHAnsi" w:hAnsi="Garamond" w:cs="Arial"/>
          <w:sz w:val="24"/>
          <w:szCs w:val="24"/>
          <w:lang w:val="en-US" w:eastAsia="en-US"/>
        </w:rPr>
      </w:pPr>
    </w:p>
    <w:p w14:paraId="6D4412A8" w14:textId="77777777" w:rsidR="007D563A" w:rsidRPr="007D563A" w:rsidRDefault="007D563A" w:rsidP="007D563A">
      <w:pPr>
        <w:spacing w:after="0" w:line="240" w:lineRule="auto"/>
        <w:ind w:firstLine="284"/>
        <w:jc w:val="both"/>
        <w:rPr>
          <w:rFonts w:ascii="Garamond" w:eastAsiaTheme="minorHAnsi" w:hAnsi="Garamond" w:cs="Arial"/>
          <w:iCs/>
          <w:sz w:val="24"/>
          <w:szCs w:val="24"/>
          <w:lang w:val="en-US" w:eastAsia="en-US"/>
        </w:rPr>
      </w:pPr>
      <w:r w:rsidRPr="007D563A">
        <w:rPr>
          <w:rFonts w:ascii="Garamond" w:eastAsiaTheme="minorHAnsi" w:hAnsi="Garamond" w:cs="Arial"/>
          <w:b/>
          <w:bCs/>
          <w:iCs/>
          <w:sz w:val="24"/>
          <w:szCs w:val="24"/>
          <w:lang w:val="en-US" w:eastAsia="en-US"/>
        </w:rPr>
        <w:t>Figure 1.</w:t>
      </w:r>
      <w:r w:rsidRPr="007D563A">
        <w:rPr>
          <w:rFonts w:ascii="Garamond" w:eastAsiaTheme="minorHAnsi" w:hAnsi="Garamond" w:cs="Arial"/>
          <w:iCs/>
          <w:sz w:val="24"/>
          <w:szCs w:val="24"/>
          <w:lang w:val="en-US" w:eastAsia="en-US"/>
        </w:rPr>
        <w:t xml:space="preserve"> Flow diagram of the selection of articles included in the study</w:t>
      </w:r>
    </w:p>
    <w:p w14:paraId="678CB189" w14:textId="77777777" w:rsidR="007D563A" w:rsidRPr="007D563A" w:rsidRDefault="007D563A" w:rsidP="007D563A">
      <w:pPr>
        <w:spacing w:after="0" w:line="240" w:lineRule="auto"/>
        <w:ind w:firstLine="284"/>
        <w:jc w:val="both"/>
        <w:rPr>
          <w:rFonts w:ascii="Garamond" w:eastAsiaTheme="minorHAnsi" w:hAnsi="Garamond" w:cs="Arial"/>
          <w:iCs/>
          <w:sz w:val="24"/>
          <w:szCs w:val="24"/>
          <w:lang w:val="en-US" w:eastAsia="en-US"/>
        </w:rPr>
      </w:pPr>
    </w:p>
    <w:p w14:paraId="1B83D460" w14:textId="77777777" w:rsidR="007D563A" w:rsidRPr="007D563A" w:rsidRDefault="007D563A" w:rsidP="007D563A">
      <w:pPr>
        <w:spacing w:after="0" w:line="240" w:lineRule="auto"/>
        <w:ind w:firstLine="284"/>
        <w:jc w:val="both"/>
        <w:rPr>
          <w:rFonts w:ascii="Garamond" w:eastAsiaTheme="minorHAnsi" w:hAnsi="Garamond" w:cs="Arial"/>
          <w:iCs/>
          <w:sz w:val="24"/>
          <w:szCs w:val="24"/>
          <w:lang w:val="en-US" w:eastAsia="en-US"/>
        </w:rPr>
      </w:pPr>
      <w:r w:rsidRPr="007D563A">
        <w:rPr>
          <w:rFonts w:asciiTheme="minorHAnsi" w:eastAsiaTheme="minorHAnsi" w:hAnsiTheme="minorHAnsi" w:cstheme="minorBidi"/>
          <w:noProof/>
          <w:lang w:val="it-IT" w:eastAsia="en-US"/>
        </w:rPr>
        <w:drawing>
          <wp:inline distT="0" distB="0" distL="0" distR="0" wp14:anchorId="01F2944C" wp14:editId="522FD89D">
            <wp:extent cx="6210300" cy="4482465"/>
            <wp:effectExtent l="0" t="0" r="0" b="0"/>
            <wp:docPr id="15182604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0300" cy="4482465"/>
                    </a:xfrm>
                    <a:prstGeom prst="rect">
                      <a:avLst/>
                    </a:prstGeom>
                    <a:noFill/>
                    <a:ln>
                      <a:noFill/>
                    </a:ln>
                  </pic:spPr>
                </pic:pic>
              </a:graphicData>
            </a:graphic>
          </wp:inline>
        </w:drawing>
      </w:r>
    </w:p>
    <w:p w14:paraId="53606561"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lastRenderedPageBreak/>
        <w:t>After the screening process described in Fig. 1, we obtained a final sample of 55 articles, which were deemed eligible and imported into MAXQDA (version 24) and analyzed using Template Analysis (Cardano, 2020). This involved developing an initial codebook through both inductive and deductive processes, which was iteratively refined by integrating or removing concepts during analysis.</w:t>
      </w:r>
    </w:p>
    <w:p w14:paraId="341E1A13"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 xml:space="preserve">For the publication year 2025, contributions available as of December 3, </w:t>
      </w:r>
      <w:proofErr w:type="gramStart"/>
      <w:r w:rsidRPr="007D563A">
        <w:rPr>
          <w:rFonts w:ascii="Garamond" w:eastAsiaTheme="minorHAnsi" w:hAnsi="Garamond" w:cs="Arial"/>
          <w:sz w:val="24"/>
          <w:szCs w:val="24"/>
          <w:lang w:val="en-US" w:eastAsia="en-US"/>
        </w:rPr>
        <w:t>2025</w:t>
      </w:r>
      <w:proofErr w:type="gramEnd"/>
      <w:r w:rsidRPr="007D563A">
        <w:rPr>
          <w:rFonts w:ascii="Garamond" w:eastAsiaTheme="minorHAnsi" w:hAnsi="Garamond" w:cs="Arial"/>
          <w:sz w:val="24"/>
          <w:szCs w:val="24"/>
          <w:lang w:val="en-US" w:eastAsia="en-US"/>
        </w:rPr>
        <w:t xml:space="preserve"> were considered. For each article, a structured data extraction form was completed to collect publication metadata, intervention setting, clinical area, sample size, methodological approach, and research techniques.</w:t>
      </w:r>
    </w:p>
    <w:p w14:paraId="01DB0A98"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 xml:space="preserve">The results of the scoping review are first presented by outlining the descriptive characteristics of the included studies, followed by findings from a template analysis. This method enabled the development of interpretative categories, initially derived deductively from the literature and previous classifications (Springer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Cesari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and then refined iteratively (Cardano, 2020), providing a structured yet flexible framework to identify recurring patterns, themes, and relationships across studies. The analysis focused on two main dimensions: types of ageism and its outcomes and consequences.</w:t>
      </w:r>
    </w:p>
    <w:p w14:paraId="2B77272A"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p>
    <w:p w14:paraId="78FB6AD7"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p>
    <w:p w14:paraId="603EA208" w14:textId="77777777" w:rsidR="007D563A" w:rsidRPr="007D563A" w:rsidRDefault="007D563A" w:rsidP="007D563A">
      <w:pPr>
        <w:spacing w:after="0" w:line="240" w:lineRule="auto"/>
        <w:jc w:val="center"/>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3. RESULTS</w:t>
      </w:r>
    </w:p>
    <w:p w14:paraId="5DDAE459" w14:textId="77777777" w:rsidR="007D563A" w:rsidRPr="007D563A" w:rsidRDefault="007D563A" w:rsidP="007D563A">
      <w:pPr>
        <w:spacing w:after="0" w:line="240" w:lineRule="auto"/>
        <w:jc w:val="center"/>
        <w:rPr>
          <w:rFonts w:ascii="Garamond" w:eastAsiaTheme="minorHAnsi" w:hAnsi="Garamond" w:cstheme="minorBidi"/>
          <w:bCs/>
          <w:sz w:val="24"/>
          <w:lang w:val="en-US" w:eastAsia="en-US"/>
        </w:rPr>
      </w:pPr>
    </w:p>
    <w:p w14:paraId="31770333" w14:textId="77777777" w:rsidR="007D563A" w:rsidRPr="007D563A" w:rsidRDefault="007D563A" w:rsidP="007D563A">
      <w:pPr>
        <w:spacing w:after="0" w:line="240" w:lineRule="auto"/>
        <w:jc w:val="both"/>
        <w:rPr>
          <w:rFonts w:ascii="Garamond" w:eastAsiaTheme="minorHAnsi" w:hAnsi="Garamond" w:cs="Arial"/>
          <w:i/>
          <w:iCs/>
          <w:sz w:val="24"/>
          <w:szCs w:val="24"/>
          <w:lang w:val="en-US" w:eastAsia="en-US"/>
        </w:rPr>
      </w:pPr>
      <w:r w:rsidRPr="007D563A">
        <w:rPr>
          <w:rFonts w:ascii="Garamond" w:eastAsiaTheme="minorHAnsi" w:hAnsi="Garamond" w:cs="Arial"/>
          <w:i/>
          <w:iCs/>
          <w:sz w:val="24"/>
          <w:szCs w:val="24"/>
          <w:lang w:val="en-US" w:eastAsia="en-US"/>
        </w:rPr>
        <w:t>3.1. Study Characteristics</w:t>
      </w:r>
    </w:p>
    <w:p w14:paraId="3DC27F57" w14:textId="77777777" w:rsidR="007D563A" w:rsidRPr="007D563A" w:rsidRDefault="007D563A" w:rsidP="007D563A">
      <w:pPr>
        <w:spacing w:after="0" w:line="240" w:lineRule="auto"/>
        <w:jc w:val="both"/>
        <w:rPr>
          <w:rFonts w:ascii="Garamond" w:eastAsiaTheme="minorHAnsi" w:hAnsi="Garamond" w:cs="Arial"/>
          <w:sz w:val="24"/>
          <w:szCs w:val="24"/>
          <w:lang w:val="en-US" w:eastAsia="en-US"/>
        </w:rPr>
      </w:pPr>
      <w:bookmarkStart w:id="3" w:name="_Hlk126837410"/>
      <w:r w:rsidRPr="007D563A">
        <w:rPr>
          <w:rFonts w:ascii="Garamond" w:eastAsiaTheme="minorHAnsi" w:hAnsi="Garamond" w:cs="Arial"/>
          <w:sz w:val="24"/>
          <w:szCs w:val="24"/>
          <w:lang w:val="en-US" w:eastAsia="en-US"/>
        </w:rPr>
        <w:t>All studies included in this scoping review (n=55) refer to the European context. Most studies were published between 2022 and 2024 (n=39), and the main disciplinary fields were nursing (n=17), public health (n=15), and medicine (n=11). Research was conducted in a variety of settings, mainly clinical training (n=20), health systems (n=15), and community services (n=12).</w:t>
      </w:r>
    </w:p>
    <w:p w14:paraId="699BEED7"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Studies were grouped into four clinical areas: “health professions education and workforce” (n=21) focuses on students, professionals, and training; “clinical care of older adults” (n=14) covers geriatric and long-term care; “health systems, services, and policy” (n=15) includes access, governance, and public health interventions; and “ethical, conceptual, and methodological issues” (n=5) comprises theoretical, ethical, and methodological research.</w:t>
      </w:r>
    </w:p>
    <w:p w14:paraId="1E269DD3"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Regarding healthcare levels, most studies addressed the micro-level (n=25, direct interactions) or macro-level (n=20, systems and policies), with fewer at the meso-level (n=8, organizational processes) or multilevel (n=2). Studies engaged mainly multi-actor collaborations (n=26) and students/trainees (n=18), with other actors including healthcare professionals, organizations/policy makers, society/media, and industry/technology. Quantitative designs were most common (n=23), followed by qualitative (n=9), reviews (n=9), conceptual/theoretical studies (n=9) and mixed methods (n=5).</w:t>
      </w:r>
    </w:p>
    <w:p w14:paraId="4A817AD3"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Table 1 provides a detailed summary of the included studies and their characteristics.</w:t>
      </w:r>
    </w:p>
    <w:bookmarkEnd w:id="3"/>
    <w:p w14:paraId="6451BBF4" w14:textId="77777777" w:rsidR="007D563A" w:rsidRPr="007D563A" w:rsidRDefault="007D563A" w:rsidP="007D563A">
      <w:pPr>
        <w:spacing w:after="0" w:line="240" w:lineRule="auto"/>
        <w:jc w:val="both"/>
        <w:rPr>
          <w:rFonts w:ascii="Garamond" w:eastAsiaTheme="minorHAnsi" w:hAnsi="Garamond" w:cs="Arial"/>
          <w:sz w:val="20"/>
          <w:szCs w:val="24"/>
          <w:lang w:val="en-US" w:eastAsia="en-US"/>
        </w:rPr>
      </w:pPr>
    </w:p>
    <w:p w14:paraId="2EA46E89" w14:textId="77777777" w:rsidR="007D563A" w:rsidRPr="007D563A" w:rsidRDefault="007D563A" w:rsidP="007D563A">
      <w:pPr>
        <w:spacing w:after="0" w:line="240" w:lineRule="auto"/>
        <w:jc w:val="both"/>
        <w:rPr>
          <w:rFonts w:ascii="Garamond" w:eastAsiaTheme="minorHAnsi" w:hAnsi="Garamond" w:cs="NewBaskerville-Roman"/>
          <w:iCs/>
          <w:szCs w:val="19"/>
          <w:lang w:val="en-US" w:eastAsia="en-US"/>
        </w:rPr>
      </w:pPr>
      <w:bookmarkStart w:id="4" w:name="_Hlk126664873"/>
      <w:r w:rsidRPr="007D563A">
        <w:rPr>
          <w:rFonts w:ascii="Garamond" w:eastAsiaTheme="minorHAnsi" w:hAnsi="Garamond" w:cs="NewBaskerville-Roman"/>
          <w:b/>
          <w:bCs/>
          <w:iCs/>
          <w:szCs w:val="19"/>
          <w:lang w:val="en-US" w:eastAsia="en-US"/>
        </w:rPr>
        <w:t>Tab. 1.</w:t>
      </w:r>
      <w:r w:rsidRPr="007D563A">
        <w:rPr>
          <w:rFonts w:ascii="Garamond" w:eastAsiaTheme="minorHAnsi" w:hAnsi="Garamond" w:cs="NewBaskerville-Roman"/>
          <w:iCs/>
          <w:szCs w:val="19"/>
          <w:lang w:val="en-US" w:eastAsia="en-US"/>
        </w:rPr>
        <w:t xml:space="preserve"> Characteristics of the studies included in the scoping review (n=55)</w:t>
      </w:r>
    </w:p>
    <w:tbl>
      <w:tblPr>
        <w:tblStyle w:val="Grigliatabella1"/>
        <w:tblW w:w="9511" w:type="dxa"/>
        <w:tblBorders>
          <w:left w:val="none" w:sz="0" w:space="0" w:color="auto"/>
          <w:right w:val="none" w:sz="0" w:space="0" w:color="auto"/>
          <w:insideV w:val="none" w:sz="0" w:space="0" w:color="auto"/>
        </w:tblBorders>
        <w:tblLook w:val="04A0" w:firstRow="1" w:lastRow="0" w:firstColumn="1" w:lastColumn="0" w:noHBand="0" w:noVBand="1"/>
      </w:tblPr>
      <w:tblGrid>
        <w:gridCol w:w="4962"/>
        <w:gridCol w:w="4549"/>
      </w:tblGrid>
      <w:tr w:rsidR="007D563A" w:rsidRPr="007D563A" w14:paraId="48701C21" w14:textId="77777777" w:rsidTr="009B67B1">
        <w:tc>
          <w:tcPr>
            <w:tcW w:w="4962" w:type="dxa"/>
          </w:tcPr>
          <w:p w14:paraId="75315103" w14:textId="77777777" w:rsidR="007D563A" w:rsidRPr="007D563A" w:rsidRDefault="007D563A" w:rsidP="007D563A">
            <w:pPr>
              <w:spacing w:line="276" w:lineRule="auto"/>
              <w:jc w:val="both"/>
              <w:rPr>
                <w:rFonts w:ascii="Garamond" w:hAnsi="Garamond" w:cs="NewBaskerville-Roman"/>
                <w:i/>
                <w:szCs w:val="19"/>
                <w:lang w:val="en-US"/>
              </w:rPr>
            </w:pPr>
          </w:p>
        </w:tc>
        <w:tc>
          <w:tcPr>
            <w:tcW w:w="4549" w:type="dxa"/>
          </w:tcPr>
          <w:p w14:paraId="7FFDD8B9" w14:textId="77777777" w:rsidR="007D563A" w:rsidRPr="007D563A" w:rsidRDefault="007D563A" w:rsidP="007D563A">
            <w:pPr>
              <w:spacing w:line="276" w:lineRule="auto"/>
              <w:rPr>
                <w:rFonts w:ascii="Garamond" w:hAnsi="Garamond" w:cs="NewBaskerville-Roman"/>
                <w:i/>
                <w:szCs w:val="19"/>
              </w:rPr>
            </w:pPr>
            <w:r w:rsidRPr="007D563A">
              <w:rPr>
                <w:rFonts w:ascii="Garamond" w:hAnsi="Garamond" w:cs="NewBaskerville-Roman"/>
                <w:i/>
                <w:szCs w:val="19"/>
              </w:rPr>
              <w:t xml:space="preserve">Number of </w:t>
            </w:r>
            <w:proofErr w:type="spellStart"/>
            <w:r w:rsidRPr="007D563A">
              <w:rPr>
                <w:rFonts w:ascii="Garamond" w:hAnsi="Garamond" w:cs="NewBaskerville-Roman"/>
                <w:i/>
                <w:szCs w:val="19"/>
              </w:rPr>
              <w:t>Articles</w:t>
            </w:r>
            <w:proofErr w:type="spellEnd"/>
          </w:p>
        </w:tc>
      </w:tr>
      <w:tr w:rsidR="007D563A" w:rsidRPr="007D563A" w14:paraId="288DE12B" w14:textId="77777777" w:rsidTr="009B67B1">
        <w:tc>
          <w:tcPr>
            <w:tcW w:w="4962" w:type="dxa"/>
          </w:tcPr>
          <w:p w14:paraId="0FF3FFA0" w14:textId="77777777" w:rsidR="007D563A" w:rsidRPr="007D563A" w:rsidRDefault="007D563A" w:rsidP="007D563A">
            <w:pPr>
              <w:spacing w:line="276" w:lineRule="auto"/>
              <w:rPr>
                <w:rFonts w:ascii="Garamond" w:hAnsi="Garamond" w:cs="NewBaskerville-Roman"/>
                <w:i/>
                <w:iCs/>
                <w:szCs w:val="19"/>
              </w:rPr>
            </w:pPr>
            <w:bookmarkStart w:id="5" w:name="_Hlk126837526"/>
            <w:proofErr w:type="spellStart"/>
            <w:r w:rsidRPr="007D563A">
              <w:rPr>
                <w:rFonts w:ascii="Garamond" w:hAnsi="Garamond" w:cs="NewBaskerville-Roman"/>
                <w:i/>
                <w:iCs/>
                <w:szCs w:val="19"/>
              </w:rPr>
              <w:t>Publication</w:t>
            </w:r>
            <w:proofErr w:type="spellEnd"/>
            <w:r w:rsidRPr="007D563A">
              <w:rPr>
                <w:rFonts w:ascii="Garamond" w:hAnsi="Garamond" w:cs="NewBaskerville-Roman"/>
                <w:i/>
                <w:iCs/>
                <w:szCs w:val="19"/>
              </w:rPr>
              <w:t xml:space="preserve"> </w:t>
            </w:r>
            <w:proofErr w:type="spellStart"/>
            <w:r w:rsidRPr="007D563A">
              <w:rPr>
                <w:rFonts w:ascii="Garamond" w:hAnsi="Garamond" w:cs="NewBaskerville-Roman"/>
                <w:i/>
                <w:iCs/>
                <w:szCs w:val="19"/>
              </w:rPr>
              <w:t>Year</w:t>
            </w:r>
            <w:proofErr w:type="spellEnd"/>
          </w:p>
          <w:p w14:paraId="1EA2443D"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2021</w:t>
            </w:r>
          </w:p>
          <w:p w14:paraId="5220AAF5"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2022</w:t>
            </w:r>
          </w:p>
          <w:p w14:paraId="4A4B47D4"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2023</w:t>
            </w:r>
          </w:p>
          <w:p w14:paraId="450F6D27"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2024</w:t>
            </w:r>
          </w:p>
          <w:p w14:paraId="7BDB4289"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2025</w:t>
            </w:r>
          </w:p>
        </w:tc>
        <w:tc>
          <w:tcPr>
            <w:tcW w:w="4549" w:type="dxa"/>
          </w:tcPr>
          <w:p w14:paraId="25948C04" w14:textId="77777777" w:rsidR="007D563A" w:rsidRPr="007D563A" w:rsidRDefault="007D563A" w:rsidP="007D563A">
            <w:pPr>
              <w:spacing w:line="276" w:lineRule="auto"/>
              <w:rPr>
                <w:rFonts w:ascii="Garamond" w:hAnsi="Garamond" w:cs="NewBaskerville-Roman"/>
                <w:szCs w:val="19"/>
              </w:rPr>
            </w:pPr>
          </w:p>
          <w:p w14:paraId="4ECC2DE0"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7</w:t>
            </w:r>
          </w:p>
          <w:p w14:paraId="0A08BB9A"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14</w:t>
            </w:r>
          </w:p>
          <w:p w14:paraId="0C11B287"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11</w:t>
            </w:r>
          </w:p>
          <w:p w14:paraId="1DFAA5A2"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14</w:t>
            </w:r>
          </w:p>
          <w:p w14:paraId="33B1015B"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9</w:t>
            </w:r>
          </w:p>
        </w:tc>
      </w:tr>
      <w:tr w:rsidR="007D563A" w:rsidRPr="007D563A" w14:paraId="7382B43D" w14:textId="77777777" w:rsidTr="009B67B1">
        <w:tc>
          <w:tcPr>
            <w:tcW w:w="4962" w:type="dxa"/>
          </w:tcPr>
          <w:p w14:paraId="6603F1AE" w14:textId="77777777" w:rsidR="007D563A" w:rsidRPr="007D563A" w:rsidRDefault="007D563A" w:rsidP="007D563A">
            <w:pPr>
              <w:spacing w:line="276" w:lineRule="auto"/>
              <w:rPr>
                <w:rFonts w:ascii="Garamond" w:hAnsi="Garamond" w:cs="NewBaskerville-Roman"/>
                <w:i/>
                <w:iCs/>
                <w:szCs w:val="19"/>
                <w:lang w:val="en-US"/>
              </w:rPr>
            </w:pPr>
            <w:r w:rsidRPr="007D563A">
              <w:rPr>
                <w:rFonts w:ascii="Garamond" w:hAnsi="Garamond" w:cs="NewBaskerville-Roman"/>
                <w:i/>
                <w:iCs/>
                <w:szCs w:val="19"/>
                <w:lang w:val="en-US"/>
              </w:rPr>
              <w:t>Disciplinary field</w:t>
            </w:r>
          </w:p>
          <w:p w14:paraId="405B8FDB"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Public Health</w:t>
            </w:r>
          </w:p>
          <w:p w14:paraId="13AA90C4"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Medicine</w:t>
            </w:r>
          </w:p>
          <w:p w14:paraId="11805844"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lastRenderedPageBreak/>
              <w:t xml:space="preserve">Nursing </w:t>
            </w:r>
          </w:p>
          <w:p w14:paraId="03C6F0DD"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Healthcare Management</w:t>
            </w:r>
          </w:p>
          <w:p w14:paraId="0212FEB1"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 xml:space="preserve">Psychology </w:t>
            </w:r>
          </w:p>
        </w:tc>
        <w:tc>
          <w:tcPr>
            <w:tcW w:w="4549" w:type="dxa"/>
          </w:tcPr>
          <w:p w14:paraId="2DC18CD1" w14:textId="77777777" w:rsidR="007D563A" w:rsidRPr="007D563A" w:rsidRDefault="007D563A" w:rsidP="007D563A">
            <w:pPr>
              <w:spacing w:line="276" w:lineRule="auto"/>
              <w:rPr>
                <w:rFonts w:ascii="Garamond" w:hAnsi="Garamond" w:cs="NewBaskerville-Roman"/>
                <w:szCs w:val="19"/>
                <w:lang w:val="en-US"/>
              </w:rPr>
            </w:pPr>
          </w:p>
          <w:p w14:paraId="7543F076"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15</w:t>
            </w:r>
          </w:p>
          <w:p w14:paraId="4A6CDB19"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11</w:t>
            </w:r>
          </w:p>
          <w:p w14:paraId="4D1E2E37"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lastRenderedPageBreak/>
              <w:t>17</w:t>
            </w:r>
          </w:p>
          <w:p w14:paraId="19DFCF8C"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7</w:t>
            </w:r>
          </w:p>
          <w:p w14:paraId="3A29DFFD"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5</w:t>
            </w:r>
          </w:p>
        </w:tc>
      </w:tr>
      <w:tr w:rsidR="007D563A" w:rsidRPr="007D563A" w14:paraId="4E523421" w14:textId="77777777" w:rsidTr="009B67B1">
        <w:tc>
          <w:tcPr>
            <w:tcW w:w="4962" w:type="dxa"/>
          </w:tcPr>
          <w:p w14:paraId="7849855D" w14:textId="77777777" w:rsidR="007D563A" w:rsidRPr="007D563A" w:rsidRDefault="007D563A" w:rsidP="007D563A">
            <w:pPr>
              <w:spacing w:line="276" w:lineRule="auto"/>
              <w:rPr>
                <w:rFonts w:ascii="Garamond" w:hAnsi="Garamond" w:cs="NewBaskerville-Roman"/>
                <w:i/>
                <w:iCs/>
                <w:szCs w:val="19"/>
                <w:lang w:val="en-US"/>
              </w:rPr>
            </w:pPr>
            <w:r w:rsidRPr="007D563A">
              <w:rPr>
                <w:rFonts w:ascii="Garamond" w:hAnsi="Garamond" w:cs="NewBaskerville-Roman"/>
                <w:i/>
                <w:iCs/>
                <w:szCs w:val="19"/>
                <w:lang w:val="en-US"/>
              </w:rPr>
              <w:lastRenderedPageBreak/>
              <w:t>Setting</w:t>
            </w:r>
          </w:p>
          <w:p w14:paraId="378E2EB5"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Community Services</w:t>
            </w:r>
          </w:p>
          <w:p w14:paraId="64A29B36"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Clinical Training</w:t>
            </w:r>
          </w:p>
          <w:p w14:paraId="4D294F11"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 xml:space="preserve">Health System </w:t>
            </w:r>
          </w:p>
          <w:p w14:paraId="44CB20F5"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Hospital</w:t>
            </w:r>
          </w:p>
          <w:p w14:paraId="3FBC326B"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Specialist Services</w:t>
            </w:r>
          </w:p>
          <w:p w14:paraId="31E6FD6D"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Residential / Long-Term Care</w:t>
            </w:r>
          </w:p>
        </w:tc>
        <w:tc>
          <w:tcPr>
            <w:tcW w:w="4549" w:type="dxa"/>
          </w:tcPr>
          <w:p w14:paraId="05950E2D" w14:textId="77777777" w:rsidR="007D563A" w:rsidRPr="007D563A" w:rsidRDefault="007D563A" w:rsidP="007D563A">
            <w:pPr>
              <w:spacing w:line="276" w:lineRule="auto"/>
              <w:rPr>
                <w:rFonts w:ascii="Garamond" w:hAnsi="Garamond" w:cs="NewBaskerville-Roman"/>
                <w:szCs w:val="19"/>
                <w:lang w:val="en-US"/>
              </w:rPr>
            </w:pPr>
          </w:p>
          <w:p w14:paraId="424D8414"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12</w:t>
            </w:r>
          </w:p>
          <w:p w14:paraId="32D0C1CB"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20</w:t>
            </w:r>
          </w:p>
          <w:p w14:paraId="0DA74A03"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15</w:t>
            </w:r>
          </w:p>
          <w:p w14:paraId="65CF1095"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3</w:t>
            </w:r>
          </w:p>
          <w:p w14:paraId="53BC0682"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w:t>
            </w:r>
          </w:p>
          <w:p w14:paraId="6F529605"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3</w:t>
            </w:r>
          </w:p>
        </w:tc>
      </w:tr>
      <w:tr w:rsidR="007D563A" w:rsidRPr="007D563A" w14:paraId="72EC871B" w14:textId="77777777" w:rsidTr="009B67B1">
        <w:tc>
          <w:tcPr>
            <w:tcW w:w="4962" w:type="dxa"/>
          </w:tcPr>
          <w:p w14:paraId="42A6A8A2" w14:textId="77777777" w:rsidR="007D563A" w:rsidRPr="007D563A" w:rsidRDefault="007D563A" w:rsidP="007D563A">
            <w:pPr>
              <w:spacing w:line="276" w:lineRule="auto"/>
              <w:rPr>
                <w:rFonts w:ascii="Garamond" w:hAnsi="Garamond" w:cs="NewBaskerville-Roman"/>
                <w:i/>
                <w:iCs/>
                <w:szCs w:val="19"/>
                <w:lang w:val="en-US"/>
              </w:rPr>
            </w:pPr>
            <w:r w:rsidRPr="007D563A">
              <w:rPr>
                <w:rFonts w:ascii="Garamond" w:hAnsi="Garamond" w:cs="NewBaskerville-Roman"/>
                <w:i/>
                <w:iCs/>
                <w:szCs w:val="19"/>
                <w:lang w:val="en-US"/>
              </w:rPr>
              <w:t>Clinical Area</w:t>
            </w:r>
          </w:p>
          <w:p w14:paraId="0EA0361B"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Health professions education and workforce</w:t>
            </w:r>
          </w:p>
          <w:p w14:paraId="334868D3"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Clinical care of older adults</w:t>
            </w:r>
          </w:p>
          <w:p w14:paraId="7BEA3746"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Health systems, services and policy</w:t>
            </w:r>
          </w:p>
          <w:p w14:paraId="6357635A"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Ethical, conceptual and methodological issues</w:t>
            </w:r>
          </w:p>
        </w:tc>
        <w:tc>
          <w:tcPr>
            <w:tcW w:w="4549" w:type="dxa"/>
          </w:tcPr>
          <w:p w14:paraId="2A8B5554" w14:textId="77777777" w:rsidR="007D563A" w:rsidRPr="007D563A" w:rsidRDefault="007D563A" w:rsidP="007D563A">
            <w:pPr>
              <w:spacing w:line="276" w:lineRule="auto"/>
              <w:rPr>
                <w:rFonts w:ascii="Garamond" w:hAnsi="Garamond" w:cs="NewBaskerville-Roman"/>
                <w:szCs w:val="19"/>
                <w:lang w:val="en-US"/>
              </w:rPr>
            </w:pPr>
          </w:p>
          <w:p w14:paraId="3E5544FE"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21</w:t>
            </w:r>
          </w:p>
          <w:p w14:paraId="68449711"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14</w:t>
            </w:r>
          </w:p>
          <w:p w14:paraId="2A645C5E"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15</w:t>
            </w:r>
          </w:p>
          <w:p w14:paraId="673838EB"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5</w:t>
            </w:r>
          </w:p>
        </w:tc>
      </w:tr>
      <w:tr w:rsidR="007D563A" w:rsidRPr="007D563A" w14:paraId="05FBDA06" w14:textId="77777777" w:rsidTr="009B67B1">
        <w:tc>
          <w:tcPr>
            <w:tcW w:w="4962" w:type="dxa"/>
          </w:tcPr>
          <w:p w14:paraId="7707FAAF" w14:textId="77777777" w:rsidR="007D563A" w:rsidRPr="007D563A" w:rsidRDefault="007D563A" w:rsidP="007D563A">
            <w:pPr>
              <w:spacing w:line="276" w:lineRule="auto"/>
              <w:rPr>
                <w:rFonts w:ascii="Garamond" w:hAnsi="Garamond" w:cs="NewBaskerville-Roman"/>
                <w:i/>
                <w:iCs/>
                <w:szCs w:val="19"/>
                <w:lang w:val="en-US"/>
              </w:rPr>
            </w:pPr>
            <w:r w:rsidRPr="007D563A">
              <w:rPr>
                <w:rFonts w:ascii="Garamond" w:hAnsi="Garamond" w:cs="NewBaskerville-Roman"/>
                <w:i/>
                <w:iCs/>
                <w:szCs w:val="19"/>
                <w:lang w:val="en-US"/>
              </w:rPr>
              <w:t xml:space="preserve">Healthcare level </w:t>
            </w:r>
          </w:p>
          <w:p w14:paraId="082910BA"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 xml:space="preserve">Micro </w:t>
            </w:r>
          </w:p>
          <w:p w14:paraId="2A735A82"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Meso</w:t>
            </w:r>
          </w:p>
          <w:p w14:paraId="2663E3C7" w14:textId="77777777" w:rsidR="007D563A" w:rsidRPr="007D563A" w:rsidRDefault="007D563A" w:rsidP="007D563A">
            <w:pPr>
              <w:spacing w:line="276" w:lineRule="auto"/>
              <w:rPr>
                <w:rFonts w:ascii="Garamond" w:hAnsi="Garamond" w:cs="NewBaskerville-Roman"/>
                <w:szCs w:val="19"/>
              </w:rPr>
            </w:pPr>
            <w:r w:rsidRPr="007D563A">
              <w:rPr>
                <w:rFonts w:ascii="Garamond" w:hAnsi="Garamond" w:cs="NewBaskerville-Roman"/>
                <w:szCs w:val="19"/>
              </w:rPr>
              <w:t xml:space="preserve">Macro </w:t>
            </w:r>
          </w:p>
          <w:p w14:paraId="612605C2" w14:textId="77777777" w:rsidR="007D563A" w:rsidRPr="007D563A" w:rsidRDefault="007D563A" w:rsidP="007D563A">
            <w:pPr>
              <w:spacing w:line="276" w:lineRule="auto"/>
              <w:rPr>
                <w:rFonts w:ascii="Garamond" w:hAnsi="Garamond" w:cs="NewBaskerville-Roman"/>
                <w:i/>
                <w:iCs/>
                <w:szCs w:val="19"/>
              </w:rPr>
            </w:pPr>
            <w:r w:rsidRPr="007D563A">
              <w:rPr>
                <w:rFonts w:ascii="Garamond" w:hAnsi="Garamond" w:cs="NewBaskerville-Roman"/>
                <w:szCs w:val="19"/>
              </w:rPr>
              <w:t>Multilevel</w:t>
            </w:r>
          </w:p>
        </w:tc>
        <w:tc>
          <w:tcPr>
            <w:tcW w:w="4549" w:type="dxa"/>
          </w:tcPr>
          <w:p w14:paraId="0AB7D3B9" w14:textId="77777777" w:rsidR="007D563A" w:rsidRPr="007D563A" w:rsidRDefault="007D563A" w:rsidP="007D563A">
            <w:pPr>
              <w:spacing w:line="276" w:lineRule="auto"/>
              <w:rPr>
                <w:rFonts w:ascii="Garamond" w:hAnsi="Garamond" w:cs="NewBaskerville-Roman"/>
                <w:szCs w:val="19"/>
              </w:rPr>
            </w:pPr>
          </w:p>
          <w:p w14:paraId="4942176E"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25</w:t>
            </w:r>
          </w:p>
          <w:p w14:paraId="0789ABC9"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8</w:t>
            </w:r>
          </w:p>
          <w:p w14:paraId="478FE2CF"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20</w:t>
            </w:r>
          </w:p>
          <w:p w14:paraId="75FD0027"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w:t>
            </w:r>
          </w:p>
        </w:tc>
      </w:tr>
      <w:tr w:rsidR="007D563A" w:rsidRPr="007D563A" w14:paraId="51BCF7CE" w14:textId="77777777" w:rsidTr="009B67B1">
        <w:tc>
          <w:tcPr>
            <w:tcW w:w="4962" w:type="dxa"/>
          </w:tcPr>
          <w:p w14:paraId="29E7C36A" w14:textId="77777777" w:rsidR="007D563A" w:rsidRPr="007D563A" w:rsidRDefault="007D563A" w:rsidP="007D563A">
            <w:pPr>
              <w:spacing w:line="276" w:lineRule="auto"/>
              <w:rPr>
                <w:rFonts w:ascii="Garamond" w:hAnsi="Garamond" w:cs="NewBaskerville-Roman"/>
                <w:i/>
                <w:iCs/>
                <w:szCs w:val="19"/>
                <w:lang w:val="en-US"/>
              </w:rPr>
            </w:pPr>
            <w:r w:rsidRPr="007D563A">
              <w:rPr>
                <w:rFonts w:ascii="Garamond" w:hAnsi="Garamond" w:cs="NewBaskerville-Roman"/>
                <w:i/>
                <w:iCs/>
                <w:szCs w:val="19"/>
                <w:lang w:val="en-US"/>
              </w:rPr>
              <w:t>Actors</w:t>
            </w:r>
          </w:p>
          <w:p w14:paraId="3B408BEE"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 xml:space="preserve">Multi-actors </w:t>
            </w:r>
          </w:p>
          <w:p w14:paraId="3644FBCF"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Students / Trainees</w:t>
            </w:r>
          </w:p>
          <w:p w14:paraId="0F7CFF95"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Healthcare Professionals</w:t>
            </w:r>
          </w:p>
          <w:p w14:paraId="4965A044"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Organizations / Institutions / Policy makers</w:t>
            </w:r>
          </w:p>
          <w:p w14:paraId="5AC21FD3"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Industry / Technology / Research</w:t>
            </w:r>
          </w:p>
        </w:tc>
        <w:tc>
          <w:tcPr>
            <w:tcW w:w="4549" w:type="dxa"/>
          </w:tcPr>
          <w:p w14:paraId="644BDAA9" w14:textId="77777777" w:rsidR="007D563A" w:rsidRPr="007D563A" w:rsidRDefault="007D563A" w:rsidP="007D563A">
            <w:pPr>
              <w:spacing w:line="276" w:lineRule="auto"/>
              <w:rPr>
                <w:rFonts w:ascii="Garamond" w:hAnsi="Garamond" w:cs="NewBaskerville-Roman"/>
                <w:szCs w:val="19"/>
                <w:lang w:val="en-US"/>
              </w:rPr>
            </w:pPr>
          </w:p>
          <w:p w14:paraId="4D106CA5"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26</w:t>
            </w:r>
          </w:p>
          <w:p w14:paraId="0A24DB53"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18</w:t>
            </w:r>
          </w:p>
          <w:p w14:paraId="42FEA969"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7</w:t>
            </w:r>
          </w:p>
          <w:p w14:paraId="3EB60C11"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w:t>
            </w:r>
          </w:p>
          <w:p w14:paraId="68F9C9BB"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w:t>
            </w:r>
          </w:p>
        </w:tc>
      </w:tr>
      <w:tr w:rsidR="007D563A" w:rsidRPr="007D563A" w14:paraId="02C71D6F" w14:textId="77777777" w:rsidTr="009B67B1">
        <w:tc>
          <w:tcPr>
            <w:tcW w:w="4962" w:type="dxa"/>
          </w:tcPr>
          <w:p w14:paraId="597B70C0" w14:textId="77777777" w:rsidR="007D563A" w:rsidRPr="007D563A" w:rsidRDefault="007D563A" w:rsidP="007D563A">
            <w:pPr>
              <w:spacing w:line="276" w:lineRule="auto"/>
              <w:rPr>
                <w:rFonts w:ascii="Garamond" w:hAnsi="Garamond" w:cs="NewBaskerville-Roman"/>
                <w:i/>
                <w:iCs/>
                <w:szCs w:val="19"/>
                <w:lang w:val="en-US"/>
              </w:rPr>
            </w:pPr>
            <w:r w:rsidRPr="007D563A">
              <w:rPr>
                <w:rFonts w:ascii="Garamond" w:hAnsi="Garamond" w:cs="NewBaskerville-Roman"/>
                <w:i/>
                <w:iCs/>
                <w:szCs w:val="19"/>
                <w:lang w:val="en-US"/>
              </w:rPr>
              <w:t>Study Design</w:t>
            </w:r>
          </w:p>
          <w:p w14:paraId="6FA16A90"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Quantitative</w:t>
            </w:r>
          </w:p>
          <w:p w14:paraId="1E81F6F9"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Qualitative</w:t>
            </w:r>
          </w:p>
          <w:p w14:paraId="7AEC6E38"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Mixed Methods</w:t>
            </w:r>
          </w:p>
          <w:p w14:paraId="5B4D4A49"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 xml:space="preserve">Review </w:t>
            </w:r>
          </w:p>
          <w:p w14:paraId="3F27BABF"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Conceptual / Theoretical</w:t>
            </w:r>
          </w:p>
        </w:tc>
        <w:tc>
          <w:tcPr>
            <w:tcW w:w="4549" w:type="dxa"/>
          </w:tcPr>
          <w:p w14:paraId="7233FE43" w14:textId="77777777" w:rsidR="007D563A" w:rsidRPr="007D563A" w:rsidRDefault="007D563A" w:rsidP="007D563A">
            <w:pPr>
              <w:spacing w:line="276" w:lineRule="auto"/>
              <w:rPr>
                <w:rFonts w:ascii="Garamond" w:hAnsi="Garamond" w:cs="NewBaskerville-Roman"/>
                <w:szCs w:val="19"/>
                <w:lang w:val="en-US"/>
              </w:rPr>
            </w:pPr>
          </w:p>
          <w:p w14:paraId="4FAE381D"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23</w:t>
            </w:r>
          </w:p>
          <w:p w14:paraId="69ABA067"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9</w:t>
            </w:r>
          </w:p>
          <w:p w14:paraId="78357086"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5</w:t>
            </w:r>
          </w:p>
          <w:p w14:paraId="352AAE1B"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9</w:t>
            </w:r>
          </w:p>
          <w:p w14:paraId="41660B2A" w14:textId="77777777" w:rsidR="007D563A" w:rsidRPr="007D563A" w:rsidRDefault="007D563A" w:rsidP="007D563A">
            <w:pPr>
              <w:spacing w:line="276" w:lineRule="auto"/>
              <w:rPr>
                <w:rFonts w:ascii="Garamond" w:hAnsi="Garamond" w:cs="NewBaskerville-Roman"/>
                <w:szCs w:val="19"/>
                <w:lang w:val="en-US"/>
              </w:rPr>
            </w:pPr>
            <w:r w:rsidRPr="007D563A">
              <w:rPr>
                <w:rFonts w:ascii="Garamond" w:hAnsi="Garamond" w:cs="NewBaskerville-Roman"/>
                <w:szCs w:val="19"/>
                <w:lang w:val="en-US"/>
              </w:rPr>
              <w:t>9</w:t>
            </w:r>
          </w:p>
        </w:tc>
      </w:tr>
    </w:tbl>
    <w:bookmarkEnd w:id="4"/>
    <w:bookmarkEnd w:id="5"/>
    <w:p w14:paraId="2BC0D044" w14:textId="77777777" w:rsidR="007D563A" w:rsidRPr="007D563A" w:rsidRDefault="007D563A" w:rsidP="007D563A">
      <w:pPr>
        <w:spacing w:after="0" w:line="240" w:lineRule="auto"/>
        <w:jc w:val="both"/>
        <w:rPr>
          <w:rFonts w:ascii="Garamond" w:hAnsi="Garamond" w:cs="NewBaskerville-Roman"/>
          <w:iCs/>
          <w:szCs w:val="19"/>
          <w:lang w:val="en-US" w:eastAsia="en-US"/>
        </w:rPr>
      </w:pPr>
      <w:r w:rsidRPr="007D563A">
        <w:rPr>
          <w:rFonts w:ascii="Garamond" w:hAnsi="Garamond" w:cs="NewBaskerville-Roman"/>
          <w:i/>
          <w:szCs w:val="19"/>
          <w:lang w:val="en-US" w:eastAsia="en-US"/>
        </w:rPr>
        <w:t>Source</w:t>
      </w:r>
      <w:r w:rsidRPr="007D563A">
        <w:rPr>
          <w:rFonts w:ascii="Garamond" w:hAnsi="Garamond" w:cs="NewBaskerville-Roman"/>
          <w:iCs/>
          <w:szCs w:val="19"/>
          <w:lang w:val="en-US" w:eastAsia="en-US"/>
        </w:rPr>
        <w:t xml:space="preserve">: Authors’ </w:t>
      </w:r>
      <w:proofErr w:type="gramStart"/>
      <w:r w:rsidRPr="007D563A">
        <w:rPr>
          <w:rFonts w:ascii="Garamond" w:hAnsi="Garamond" w:cs="NewBaskerville-Roman"/>
          <w:iCs/>
          <w:szCs w:val="19"/>
          <w:lang w:val="en-US" w:eastAsia="en-US"/>
        </w:rPr>
        <w:t>own</w:t>
      </w:r>
      <w:proofErr w:type="gramEnd"/>
      <w:r w:rsidRPr="007D563A">
        <w:rPr>
          <w:rFonts w:ascii="Garamond" w:hAnsi="Garamond" w:cs="NewBaskerville-Roman"/>
          <w:iCs/>
          <w:szCs w:val="19"/>
          <w:lang w:val="en-US" w:eastAsia="en-US"/>
        </w:rPr>
        <w:t xml:space="preserve"> elaboration</w:t>
      </w:r>
    </w:p>
    <w:p w14:paraId="1F02893D" w14:textId="77777777" w:rsidR="007D563A" w:rsidRPr="007D563A" w:rsidRDefault="007D563A" w:rsidP="007D563A">
      <w:pPr>
        <w:spacing w:after="0" w:line="240" w:lineRule="auto"/>
        <w:jc w:val="both"/>
        <w:rPr>
          <w:rFonts w:ascii="Garamond" w:eastAsiaTheme="minorHAnsi" w:hAnsi="Garamond" w:cs="Arial"/>
          <w:i/>
          <w:iCs/>
          <w:sz w:val="24"/>
          <w:szCs w:val="24"/>
          <w:lang w:val="en-US" w:eastAsia="en-US"/>
        </w:rPr>
      </w:pPr>
    </w:p>
    <w:p w14:paraId="3F57AD0C" w14:textId="77777777" w:rsidR="007D563A" w:rsidRPr="007D563A" w:rsidRDefault="007D563A" w:rsidP="007D563A">
      <w:pPr>
        <w:spacing w:after="0" w:line="240" w:lineRule="auto"/>
        <w:jc w:val="both"/>
        <w:rPr>
          <w:rFonts w:ascii="Garamond" w:eastAsiaTheme="minorHAnsi" w:hAnsi="Garamond" w:cs="Arial"/>
          <w:i/>
          <w:iCs/>
          <w:sz w:val="24"/>
          <w:szCs w:val="24"/>
          <w:lang w:val="en-US" w:eastAsia="en-US"/>
        </w:rPr>
      </w:pPr>
      <w:r w:rsidRPr="007D563A">
        <w:rPr>
          <w:rFonts w:ascii="Garamond" w:eastAsiaTheme="minorHAnsi" w:hAnsi="Garamond" w:cs="Arial"/>
          <w:i/>
          <w:iCs/>
          <w:sz w:val="24"/>
          <w:szCs w:val="24"/>
          <w:lang w:val="en-US" w:eastAsia="en-US"/>
        </w:rPr>
        <w:t>3.2. Qualitative template analysis: types and outcomes of ageism in healthcare and social care settings</w:t>
      </w:r>
    </w:p>
    <w:p w14:paraId="21966E91" w14:textId="77777777" w:rsidR="007D563A" w:rsidRPr="007D563A" w:rsidRDefault="007D563A" w:rsidP="007D563A">
      <w:pPr>
        <w:spacing w:after="0" w:line="240" w:lineRule="auto"/>
        <w:jc w:val="both"/>
        <w:rPr>
          <w:rFonts w:ascii="Garamond" w:eastAsiaTheme="minorHAnsi" w:hAnsi="Garamond" w:cs="Arial"/>
          <w:sz w:val="24"/>
          <w:szCs w:val="24"/>
          <w:lang w:val="en-US" w:eastAsia="en-US"/>
        </w:rPr>
      </w:pPr>
      <w:bookmarkStart w:id="6" w:name="_Hlk219471403"/>
      <w:r w:rsidRPr="007D563A">
        <w:rPr>
          <w:rFonts w:ascii="Garamond" w:eastAsiaTheme="minorHAnsi" w:hAnsi="Garamond" w:cs="Arial"/>
          <w:sz w:val="24"/>
          <w:szCs w:val="24"/>
          <w:lang w:val="en-US" w:eastAsia="en-US"/>
        </w:rPr>
        <w:t>The analysis of the 55 included studies led to the identification of a multi-level structure of ageism and its outcomes. Four interrelated levels emerged inductively from the data: internalized/self-ageism, individual/interpersonal, institutional/organizational and structural/systemic, each associated with specific patterns of outcomes.</w:t>
      </w:r>
    </w:p>
    <w:p w14:paraId="231C75E9"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Internalized or self-ageism (n=5) captured the process through which older individuals internalize societal and institutional stereotypes, shaping self-perceptions and expectations about ageing. This level was associated with internalized stereotypes and self-stigma (</w:t>
      </w:r>
      <w:proofErr w:type="spellStart"/>
      <w:r w:rsidRPr="007D563A">
        <w:rPr>
          <w:rFonts w:ascii="Garamond" w:eastAsiaTheme="minorHAnsi" w:hAnsi="Garamond" w:cs="Arial"/>
          <w:sz w:val="24"/>
          <w:szCs w:val="24"/>
          <w:lang w:val="en-US" w:eastAsia="en-US"/>
        </w:rPr>
        <w:t>Aytulun</w:t>
      </w:r>
      <w:proofErr w:type="spellEnd"/>
      <w:r w:rsidRPr="007D563A">
        <w:rPr>
          <w:rFonts w:ascii="Garamond" w:eastAsiaTheme="minorHAnsi" w:hAnsi="Garamond" w:cs="Arial"/>
          <w:sz w:val="24"/>
          <w:szCs w:val="24"/>
          <w:lang w:val="en-US" w:eastAsia="en-US"/>
        </w:rPr>
        <w:t xml:space="preserve"> &amp; Erden Aki, 2022), psychological well-being and emotional vulnerability, including loneliness and perceived risk (Naughton-Doe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w:t>
      </w:r>
      <w:proofErr w:type="spellStart"/>
      <w:r w:rsidRPr="007D563A">
        <w:rPr>
          <w:rFonts w:ascii="Garamond" w:eastAsiaTheme="minorHAnsi" w:hAnsi="Garamond" w:cs="Arial"/>
          <w:sz w:val="24"/>
          <w:szCs w:val="24"/>
          <w:lang w:val="en-US" w:eastAsia="en-US"/>
        </w:rPr>
        <w:t>Gallistl</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Bellanova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as well as subjective experiences of frailty and health (</w:t>
      </w:r>
      <w:proofErr w:type="spellStart"/>
      <w:r w:rsidRPr="007D563A">
        <w:rPr>
          <w:rFonts w:ascii="Garamond" w:eastAsiaTheme="minorHAnsi" w:hAnsi="Garamond" w:cs="Arial"/>
          <w:sz w:val="24"/>
          <w:szCs w:val="24"/>
          <w:lang w:val="en-US" w:eastAsia="en-US"/>
        </w:rPr>
        <w:t>Chenhuichen</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These processes contributed to altered health-related behaviors, reduced agency in decision-making, and forms of self-limitation in the relationship with healthcare services.</w:t>
      </w:r>
    </w:p>
    <w:p w14:paraId="15E43F31"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lastRenderedPageBreak/>
        <w:t>Individual/interpersonal ageism (n=19) referred to age-based stereotypes, attitudes, and discriminatory practices enacted in everyday interactions within healthcare and educational contexts. At this level, ageism was associated with negative or ambivalent attitudes and stereotypes toward older adults (</w:t>
      </w:r>
      <w:proofErr w:type="spellStart"/>
      <w:r w:rsidRPr="007D563A">
        <w:rPr>
          <w:rFonts w:ascii="Garamond" w:eastAsiaTheme="minorHAnsi" w:hAnsi="Garamond" w:cs="Arial"/>
          <w:sz w:val="24"/>
          <w:szCs w:val="24"/>
          <w:lang w:val="en-US" w:eastAsia="en-US"/>
        </w:rPr>
        <w:t>Lampersberger</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2023; Pons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Elvira-</w:t>
      </w:r>
      <w:proofErr w:type="spellStart"/>
      <w:r w:rsidRPr="007D563A">
        <w:rPr>
          <w:rFonts w:ascii="Garamond" w:eastAsiaTheme="minorHAnsi" w:hAnsi="Garamond" w:cs="Arial"/>
          <w:sz w:val="24"/>
          <w:szCs w:val="24"/>
          <w:lang w:val="en-US" w:eastAsia="en-US"/>
        </w:rPr>
        <w:t>Zorzo</w:t>
      </w:r>
      <w:proofErr w:type="spellEnd"/>
      <w:r w:rsidRPr="007D563A">
        <w:rPr>
          <w:rFonts w:ascii="Garamond" w:eastAsiaTheme="minorHAnsi" w:hAnsi="Garamond" w:cs="Arial"/>
          <w:sz w:val="24"/>
          <w:szCs w:val="24"/>
          <w:lang w:val="en-US" w:eastAsia="en-US"/>
        </w:rPr>
        <w:t xml:space="preserve"> &amp; Vega Rodríguez, 2025; </w:t>
      </w:r>
      <w:proofErr w:type="spellStart"/>
      <w:r w:rsidRPr="007D563A">
        <w:rPr>
          <w:rFonts w:ascii="Garamond" w:eastAsiaTheme="minorHAnsi" w:hAnsi="Garamond" w:cs="Arial"/>
          <w:sz w:val="24"/>
          <w:szCs w:val="24"/>
          <w:lang w:val="en-US" w:eastAsia="en-US"/>
        </w:rPr>
        <w:t>Catalao</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representations of ageing among students and professionals (</w:t>
      </w:r>
      <w:proofErr w:type="spellStart"/>
      <w:r w:rsidRPr="007D563A">
        <w:rPr>
          <w:rFonts w:ascii="Garamond" w:eastAsiaTheme="minorHAnsi" w:hAnsi="Garamond" w:cs="Arial"/>
          <w:sz w:val="24"/>
          <w:szCs w:val="24"/>
          <w:lang w:val="en-US" w:eastAsia="en-US"/>
        </w:rPr>
        <w:t>Heckemann</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w:t>
      </w:r>
      <w:proofErr w:type="spellStart"/>
      <w:r w:rsidRPr="007D563A">
        <w:rPr>
          <w:rFonts w:ascii="Garamond" w:eastAsiaTheme="minorHAnsi" w:hAnsi="Garamond" w:cs="Arial"/>
          <w:sz w:val="24"/>
          <w:szCs w:val="24"/>
          <w:lang w:val="en-US" w:eastAsia="en-US"/>
        </w:rPr>
        <w:t>Schüttengruber</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Cerqueira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2023), and implicit or ambivalent forms of ageism (D’hondt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w:t>
      </w:r>
      <w:proofErr w:type="spellStart"/>
      <w:r w:rsidRPr="007D563A">
        <w:rPr>
          <w:rFonts w:ascii="Garamond" w:eastAsiaTheme="minorHAnsi" w:hAnsi="Garamond" w:cs="Arial"/>
          <w:sz w:val="24"/>
          <w:szCs w:val="24"/>
          <w:lang w:val="en-US" w:eastAsia="en-US"/>
        </w:rPr>
        <w:t>Piaton</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w:t>
      </w:r>
      <w:proofErr w:type="spellStart"/>
      <w:r w:rsidRPr="007D563A">
        <w:rPr>
          <w:rFonts w:ascii="Garamond" w:eastAsiaTheme="minorHAnsi" w:hAnsi="Garamond" w:cs="Arial"/>
          <w:sz w:val="24"/>
          <w:szCs w:val="24"/>
          <w:lang w:val="fr-FR" w:eastAsia="en-US"/>
        </w:rPr>
        <w:t>These</w:t>
      </w:r>
      <w:proofErr w:type="spellEnd"/>
      <w:r w:rsidRPr="007D563A">
        <w:rPr>
          <w:rFonts w:ascii="Garamond" w:eastAsiaTheme="minorHAnsi" w:hAnsi="Garamond" w:cs="Arial"/>
          <w:sz w:val="24"/>
          <w:szCs w:val="24"/>
          <w:lang w:val="fr-FR" w:eastAsia="en-US"/>
        </w:rPr>
        <w:t xml:space="preserve"> attitudes </w:t>
      </w:r>
      <w:proofErr w:type="spellStart"/>
      <w:r w:rsidRPr="007D563A">
        <w:rPr>
          <w:rFonts w:ascii="Garamond" w:eastAsiaTheme="minorHAnsi" w:hAnsi="Garamond" w:cs="Arial"/>
          <w:sz w:val="24"/>
          <w:szCs w:val="24"/>
          <w:lang w:val="fr-FR" w:eastAsia="en-US"/>
        </w:rPr>
        <w:t>influenced</w:t>
      </w:r>
      <w:proofErr w:type="spellEnd"/>
      <w:r w:rsidRPr="007D563A">
        <w:rPr>
          <w:rFonts w:ascii="Garamond" w:eastAsiaTheme="minorHAnsi" w:hAnsi="Garamond" w:cs="Arial"/>
          <w:sz w:val="24"/>
          <w:szCs w:val="24"/>
          <w:lang w:val="fr-FR" w:eastAsia="en-US"/>
        </w:rPr>
        <w:t xml:space="preserve"> </w:t>
      </w:r>
      <w:proofErr w:type="spellStart"/>
      <w:r w:rsidRPr="007D563A">
        <w:rPr>
          <w:rFonts w:ascii="Garamond" w:eastAsiaTheme="minorHAnsi" w:hAnsi="Garamond" w:cs="Arial"/>
          <w:sz w:val="24"/>
          <w:szCs w:val="24"/>
          <w:lang w:val="fr-FR" w:eastAsia="en-US"/>
        </w:rPr>
        <w:t>educational</w:t>
      </w:r>
      <w:proofErr w:type="spellEnd"/>
      <w:r w:rsidRPr="007D563A">
        <w:rPr>
          <w:rFonts w:ascii="Garamond" w:eastAsiaTheme="minorHAnsi" w:hAnsi="Garamond" w:cs="Arial"/>
          <w:sz w:val="24"/>
          <w:szCs w:val="24"/>
          <w:lang w:val="fr-FR" w:eastAsia="en-US"/>
        </w:rPr>
        <w:t xml:space="preserve"> </w:t>
      </w:r>
      <w:proofErr w:type="spellStart"/>
      <w:r w:rsidRPr="007D563A">
        <w:rPr>
          <w:rFonts w:ascii="Garamond" w:eastAsiaTheme="minorHAnsi" w:hAnsi="Garamond" w:cs="Arial"/>
          <w:sz w:val="24"/>
          <w:szCs w:val="24"/>
          <w:lang w:val="fr-FR" w:eastAsia="en-US"/>
        </w:rPr>
        <w:t>trajectories</w:t>
      </w:r>
      <w:proofErr w:type="spellEnd"/>
      <w:r w:rsidRPr="007D563A">
        <w:rPr>
          <w:rFonts w:ascii="Garamond" w:eastAsiaTheme="minorHAnsi" w:hAnsi="Garamond" w:cs="Arial"/>
          <w:sz w:val="24"/>
          <w:szCs w:val="24"/>
          <w:lang w:val="fr-FR" w:eastAsia="en-US"/>
        </w:rPr>
        <w:t xml:space="preserve"> and </w:t>
      </w:r>
      <w:proofErr w:type="spellStart"/>
      <w:r w:rsidRPr="007D563A">
        <w:rPr>
          <w:rFonts w:ascii="Garamond" w:eastAsiaTheme="minorHAnsi" w:hAnsi="Garamond" w:cs="Arial"/>
          <w:sz w:val="24"/>
          <w:szCs w:val="24"/>
          <w:lang w:val="fr-FR" w:eastAsia="en-US"/>
        </w:rPr>
        <w:t>professional</w:t>
      </w:r>
      <w:proofErr w:type="spellEnd"/>
      <w:r w:rsidRPr="007D563A">
        <w:rPr>
          <w:rFonts w:ascii="Garamond" w:eastAsiaTheme="minorHAnsi" w:hAnsi="Garamond" w:cs="Arial"/>
          <w:sz w:val="24"/>
          <w:szCs w:val="24"/>
          <w:lang w:val="fr-FR" w:eastAsia="en-US"/>
        </w:rPr>
        <w:t xml:space="preserve"> orientations (Özdil </w:t>
      </w:r>
      <w:r w:rsidRPr="007D563A">
        <w:rPr>
          <w:rFonts w:ascii="Garamond" w:eastAsiaTheme="minorHAnsi" w:hAnsi="Garamond" w:cs="Arial"/>
          <w:i/>
          <w:iCs/>
          <w:sz w:val="24"/>
          <w:szCs w:val="24"/>
          <w:lang w:val="fr-FR" w:eastAsia="en-US"/>
        </w:rPr>
        <w:t>et al</w:t>
      </w:r>
      <w:r w:rsidRPr="007D563A">
        <w:rPr>
          <w:rFonts w:ascii="Garamond" w:eastAsiaTheme="minorHAnsi" w:hAnsi="Garamond" w:cs="Arial"/>
          <w:sz w:val="24"/>
          <w:szCs w:val="24"/>
          <w:lang w:val="fr-FR" w:eastAsia="en-US"/>
        </w:rPr>
        <w:t xml:space="preserve">. </w:t>
      </w:r>
      <w:proofErr w:type="gramStart"/>
      <w:r w:rsidRPr="007D563A">
        <w:rPr>
          <w:rFonts w:ascii="Garamond" w:eastAsiaTheme="minorHAnsi" w:hAnsi="Garamond" w:cs="Arial"/>
          <w:sz w:val="24"/>
          <w:szCs w:val="24"/>
          <w:lang w:val="fr-FR" w:eastAsia="en-US"/>
        </w:rPr>
        <w:t>2021;</w:t>
      </w:r>
      <w:proofErr w:type="gramEnd"/>
      <w:r w:rsidRPr="007D563A">
        <w:rPr>
          <w:rFonts w:ascii="Garamond" w:eastAsiaTheme="minorHAnsi" w:hAnsi="Garamond" w:cs="Arial"/>
          <w:sz w:val="24"/>
          <w:szCs w:val="24"/>
          <w:lang w:val="fr-FR" w:eastAsia="en-US"/>
        </w:rPr>
        <w:t xml:space="preserve"> Knight </w:t>
      </w:r>
      <w:r w:rsidRPr="007D563A">
        <w:rPr>
          <w:rFonts w:ascii="Garamond" w:eastAsiaTheme="minorHAnsi" w:hAnsi="Garamond" w:cs="Arial"/>
          <w:i/>
          <w:iCs/>
          <w:sz w:val="24"/>
          <w:szCs w:val="24"/>
          <w:lang w:val="fr-FR" w:eastAsia="en-US"/>
        </w:rPr>
        <w:t>et al</w:t>
      </w:r>
      <w:r w:rsidRPr="007D563A">
        <w:rPr>
          <w:rFonts w:ascii="Garamond" w:eastAsiaTheme="minorHAnsi" w:hAnsi="Garamond" w:cs="Arial"/>
          <w:sz w:val="24"/>
          <w:szCs w:val="24"/>
          <w:lang w:val="fr-FR" w:eastAsia="en-US"/>
        </w:rPr>
        <w:t xml:space="preserve">. </w:t>
      </w:r>
      <w:proofErr w:type="gramStart"/>
      <w:r w:rsidRPr="007D563A">
        <w:rPr>
          <w:rFonts w:ascii="Garamond" w:eastAsiaTheme="minorHAnsi" w:hAnsi="Garamond" w:cs="Arial"/>
          <w:sz w:val="24"/>
          <w:szCs w:val="24"/>
          <w:lang w:val="fr-FR" w:eastAsia="en-US"/>
        </w:rPr>
        <w:t>2022;</w:t>
      </w:r>
      <w:proofErr w:type="gramEnd"/>
      <w:r w:rsidRPr="007D563A">
        <w:rPr>
          <w:rFonts w:ascii="Garamond" w:eastAsiaTheme="minorHAnsi" w:hAnsi="Garamond" w:cs="Arial"/>
          <w:sz w:val="24"/>
          <w:szCs w:val="24"/>
          <w:lang w:val="fr-FR" w:eastAsia="en-US"/>
        </w:rPr>
        <w:t xml:space="preserve"> Castellano-Rioja </w:t>
      </w:r>
      <w:r w:rsidRPr="007D563A">
        <w:rPr>
          <w:rFonts w:ascii="Garamond" w:eastAsiaTheme="minorHAnsi" w:hAnsi="Garamond" w:cs="Arial"/>
          <w:i/>
          <w:iCs/>
          <w:sz w:val="24"/>
          <w:szCs w:val="24"/>
          <w:lang w:val="fr-FR" w:eastAsia="en-US"/>
        </w:rPr>
        <w:t>et al</w:t>
      </w:r>
      <w:r w:rsidRPr="007D563A">
        <w:rPr>
          <w:rFonts w:ascii="Garamond" w:eastAsiaTheme="minorHAnsi" w:hAnsi="Garamond" w:cs="Arial"/>
          <w:sz w:val="24"/>
          <w:szCs w:val="24"/>
          <w:lang w:val="fr-FR" w:eastAsia="en-US"/>
        </w:rPr>
        <w:t xml:space="preserve">. </w:t>
      </w:r>
      <w:proofErr w:type="gramStart"/>
      <w:r w:rsidRPr="007D563A">
        <w:rPr>
          <w:rFonts w:ascii="Garamond" w:eastAsiaTheme="minorHAnsi" w:hAnsi="Garamond" w:cs="Arial"/>
          <w:sz w:val="24"/>
          <w:szCs w:val="24"/>
          <w:lang w:val="fr-FR" w:eastAsia="en-US"/>
        </w:rPr>
        <w:t>2022;</w:t>
      </w:r>
      <w:proofErr w:type="gramEnd"/>
      <w:r w:rsidRPr="007D563A">
        <w:rPr>
          <w:rFonts w:ascii="Garamond" w:eastAsiaTheme="minorHAnsi" w:hAnsi="Garamond" w:cs="Arial"/>
          <w:sz w:val="24"/>
          <w:szCs w:val="24"/>
          <w:lang w:val="fr-FR" w:eastAsia="en-US"/>
        </w:rPr>
        <w:t xml:space="preserve"> Nitschke </w:t>
      </w:r>
      <w:r w:rsidRPr="007D563A">
        <w:rPr>
          <w:rFonts w:ascii="Garamond" w:eastAsiaTheme="minorHAnsi" w:hAnsi="Garamond" w:cs="Arial"/>
          <w:i/>
          <w:iCs/>
          <w:sz w:val="24"/>
          <w:szCs w:val="24"/>
          <w:lang w:val="fr-FR" w:eastAsia="en-US"/>
        </w:rPr>
        <w:t>et al.</w:t>
      </w:r>
      <w:r w:rsidRPr="007D563A">
        <w:rPr>
          <w:rFonts w:ascii="Garamond" w:eastAsiaTheme="minorHAnsi" w:hAnsi="Garamond" w:cs="Arial"/>
          <w:sz w:val="24"/>
          <w:szCs w:val="24"/>
          <w:lang w:val="fr-FR" w:eastAsia="en-US"/>
        </w:rPr>
        <w:t xml:space="preserve"> 2022 ; </w:t>
      </w:r>
      <w:proofErr w:type="spellStart"/>
      <w:r w:rsidRPr="007D563A">
        <w:rPr>
          <w:rFonts w:ascii="Garamond" w:eastAsiaTheme="minorHAnsi" w:hAnsi="Garamond" w:cs="Arial"/>
          <w:sz w:val="24"/>
          <w:szCs w:val="24"/>
          <w:lang w:val="fr-FR" w:eastAsia="en-US"/>
        </w:rPr>
        <w:t>Allué</w:t>
      </w:r>
      <w:proofErr w:type="spellEnd"/>
      <w:r w:rsidRPr="007D563A">
        <w:rPr>
          <w:rFonts w:ascii="Garamond" w:eastAsiaTheme="minorHAnsi" w:hAnsi="Garamond" w:cs="Arial"/>
          <w:sz w:val="24"/>
          <w:szCs w:val="24"/>
          <w:lang w:val="fr-FR" w:eastAsia="en-US"/>
        </w:rPr>
        <w:t xml:space="preserve">-Sierra </w:t>
      </w:r>
      <w:r w:rsidRPr="007D563A">
        <w:rPr>
          <w:rFonts w:ascii="Garamond" w:eastAsiaTheme="minorHAnsi" w:hAnsi="Garamond" w:cs="Arial"/>
          <w:i/>
          <w:iCs/>
          <w:sz w:val="24"/>
          <w:szCs w:val="24"/>
          <w:lang w:val="fr-FR" w:eastAsia="en-US"/>
        </w:rPr>
        <w:t>et al.</w:t>
      </w:r>
      <w:r w:rsidRPr="007D563A">
        <w:rPr>
          <w:rFonts w:ascii="Garamond" w:eastAsiaTheme="minorHAnsi" w:hAnsi="Garamond" w:cs="Arial"/>
          <w:sz w:val="24"/>
          <w:szCs w:val="24"/>
          <w:lang w:val="fr-FR" w:eastAsia="en-US"/>
        </w:rPr>
        <w:t xml:space="preserve"> 2023). </w:t>
      </w:r>
      <w:r w:rsidRPr="007D563A">
        <w:rPr>
          <w:rFonts w:ascii="Garamond" w:eastAsiaTheme="minorHAnsi" w:hAnsi="Garamond" w:cs="Arial"/>
          <w:sz w:val="24"/>
          <w:szCs w:val="24"/>
          <w:lang w:val="en-US" w:eastAsia="en-US"/>
        </w:rPr>
        <w:t xml:space="preserve">In this domain, several studies explicitly </w:t>
      </w:r>
      <w:proofErr w:type="spellStart"/>
      <w:r w:rsidRPr="007D563A">
        <w:rPr>
          <w:rFonts w:ascii="Garamond" w:eastAsiaTheme="minorHAnsi" w:hAnsi="Garamond" w:cs="Arial"/>
          <w:sz w:val="24"/>
          <w:szCs w:val="24"/>
          <w:lang w:val="en-US" w:eastAsia="en-US"/>
        </w:rPr>
        <w:t>operationalised</w:t>
      </w:r>
      <w:proofErr w:type="spellEnd"/>
      <w:r w:rsidRPr="007D563A">
        <w:rPr>
          <w:rFonts w:ascii="Garamond" w:eastAsiaTheme="minorHAnsi" w:hAnsi="Garamond" w:cs="Arial"/>
          <w:sz w:val="24"/>
          <w:szCs w:val="24"/>
          <w:lang w:val="en-US" w:eastAsia="en-US"/>
        </w:rPr>
        <w:t xml:space="preserve"> ageism using validated scales and measurement tools, aimed at quantifying ageism and assessing explicit or implicit ageist attitudes (</w:t>
      </w:r>
      <w:proofErr w:type="spellStart"/>
      <w:r w:rsidRPr="007D563A">
        <w:rPr>
          <w:rFonts w:ascii="Garamond" w:eastAsiaTheme="minorHAnsi" w:hAnsi="Garamond" w:cs="Arial"/>
          <w:sz w:val="24"/>
          <w:szCs w:val="24"/>
          <w:lang w:val="en-US" w:eastAsia="en-US"/>
        </w:rPr>
        <w:t>Schüttengruber</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D’hondt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Interpersonal ageism also affected clinical communication and the quality of care in direct one-to-one interactions, shaping patient–professional relationships, decision-making processes, and experiences of healthcare. In particular, studies highlighted age-based assumptions in clinical interactions and care practices (Martínez-Angulo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2023a; Martínez-Angulo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2023b), exclusion or marginalization of older patients in preventive pathways such as screening (Gram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2023), and the role of age-related anxieties and stereotypes among healthcare trainees in influencing attitudes toward older patients and care delivery (Draper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w:t>
      </w:r>
    </w:p>
    <w:p w14:paraId="70590294"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Institutional/organizational ageism (n=9) concerned age-based dynamics embedded in organizational structures, professional practices, and educational systems within healthcare settings. At this level, ageism was associated with organizational practices and workforce outcomes, including the influence of age stereotypes on professional well-being, motivation, and intention to leave the workplace (</w:t>
      </w:r>
      <w:proofErr w:type="spellStart"/>
      <w:r w:rsidRPr="007D563A">
        <w:rPr>
          <w:rFonts w:ascii="Garamond" w:eastAsiaTheme="minorHAnsi" w:hAnsi="Garamond" w:cs="Arial"/>
          <w:sz w:val="24"/>
          <w:szCs w:val="24"/>
          <w:lang w:val="en-US" w:eastAsia="en-US"/>
        </w:rPr>
        <w:t>Helaß</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as well as the role of age-related beliefs in shaping burnout and quality of working life in long-term care contexts (López-Frutos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Institutional ageism also emerged in relation to education and training processes, highlighting how formal learning environments can both reproduce and mitigate ageist attitudes. Studies documented the impact of educational interventions and training models on attitudes toward ageing and older patients (Başer &amp; Hisar, 2024; Bouwmeester </w:t>
      </w:r>
      <w:proofErr w:type="spellStart"/>
      <w:r w:rsidRPr="007D563A">
        <w:rPr>
          <w:rFonts w:ascii="Garamond" w:eastAsiaTheme="minorHAnsi" w:hAnsi="Garamond" w:cs="Arial"/>
          <w:sz w:val="24"/>
          <w:szCs w:val="24"/>
          <w:lang w:val="en-US" w:eastAsia="en-US"/>
        </w:rPr>
        <w:t>Stjernetun</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2024a; Bouwmeester </w:t>
      </w:r>
      <w:proofErr w:type="spellStart"/>
      <w:r w:rsidRPr="007D563A">
        <w:rPr>
          <w:rFonts w:ascii="Garamond" w:eastAsiaTheme="minorHAnsi" w:hAnsi="Garamond" w:cs="Arial"/>
          <w:sz w:val="24"/>
          <w:szCs w:val="24"/>
          <w:lang w:val="en-US" w:eastAsia="en-US"/>
        </w:rPr>
        <w:t>Stjernetun</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2024b), professional identity and career orientation toward geriatrics (Pearson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and the development of competencies and awareness related to ageism in healthcare practice (Fitzpatrick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2021; Fernandes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including the validation of scales for measuring ageist attitudes in students (</w:t>
      </w:r>
      <w:proofErr w:type="spellStart"/>
      <w:r w:rsidRPr="007D563A">
        <w:rPr>
          <w:rFonts w:ascii="Garamond" w:eastAsiaTheme="minorHAnsi" w:hAnsi="Garamond" w:cs="Arial"/>
          <w:sz w:val="24"/>
          <w:szCs w:val="24"/>
          <w:lang w:val="en-US" w:eastAsia="en-US"/>
        </w:rPr>
        <w:t>Piaton</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2023).</w:t>
      </w:r>
    </w:p>
    <w:p w14:paraId="21C4E86B"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 xml:space="preserve">Structural/systemic ageism (n=22) referred to age-based inequalities produced and legitimized at the macro-social level through healthcare systems, public policies, ethical frameworks, and socio-cultural norms. At this level, ageism was associated with health inequities and unequal access to care, including disparities in diagnostic testing and service availability (Trevisan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2021; Miralles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2021), missed or delayed healthcare during crises and policy responses (</w:t>
      </w:r>
      <w:proofErr w:type="spellStart"/>
      <w:r w:rsidRPr="007D563A">
        <w:rPr>
          <w:rFonts w:ascii="Garamond" w:eastAsiaTheme="minorHAnsi" w:hAnsi="Garamond" w:cs="Arial"/>
          <w:sz w:val="24"/>
          <w:szCs w:val="24"/>
          <w:lang w:val="en-US" w:eastAsia="en-US"/>
        </w:rPr>
        <w:t>Settels</w:t>
      </w:r>
      <w:proofErr w:type="spellEnd"/>
      <w:r w:rsidRPr="007D563A">
        <w:rPr>
          <w:rFonts w:ascii="Garamond" w:eastAsiaTheme="minorHAnsi" w:hAnsi="Garamond" w:cs="Arial"/>
          <w:sz w:val="24"/>
          <w:szCs w:val="24"/>
          <w:lang w:val="en-US" w:eastAsia="en-US"/>
        </w:rPr>
        <w:t xml:space="preserve"> &amp; Leist, 2022; Rodriguez-Rodriguez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age-based resource allocation and prioritization (Pinho &amp; Araújo, 2022; McDonald, 2022), and clinical outcomes shaped by age-related decision-making and prescribing practices (Paar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Fumagalli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Structural ageism also emerged as a driver of global mental health inequities (Teaster &amp; Giwa, 2023) and vulnerabilities among specific populations, such as older adults with rare diseases (</w:t>
      </w:r>
      <w:proofErr w:type="spellStart"/>
      <w:r w:rsidRPr="007D563A">
        <w:rPr>
          <w:rFonts w:ascii="Garamond" w:eastAsiaTheme="minorHAnsi" w:hAnsi="Garamond" w:cs="Arial"/>
          <w:sz w:val="24"/>
          <w:szCs w:val="24"/>
          <w:lang w:val="en-US" w:eastAsia="en-US"/>
        </w:rPr>
        <w:t>Uwitonze</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Beyond material inequalities, structural ageism was reflected in ethical, normative, and symbolic dimensions of ageing, including debates on dignity, vulnerability, and epistemic justice in healthcare (Langmann, 2023; Bortolotti, 2025; Langmann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intersectional forms of age-based disadvantage related to gender and social inequalities (Bows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2024; Costa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2025), and age discrimination in public health and legal frameworks (Nitschke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2021; Lloyd-Sherlock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Finally, studies highlighted the emergence of digital ageism and its implications for service design and technological innovation in healthcare. Research showed how stereotypes about older adults’ digital </w:t>
      </w:r>
      <w:r w:rsidRPr="007D563A">
        <w:rPr>
          <w:rFonts w:ascii="Garamond" w:eastAsiaTheme="minorHAnsi" w:hAnsi="Garamond" w:cs="Arial"/>
          <w:sz w:val="24"/>
          <w:szCs w:val="24"/>
          <w:lang w:val="en-US" w:eastAsia="en-US"/>
        </w:rPr>
        <w:lastRenderedPageBreak/>
        <w:t xml:space="preserve">abilities shape professional attitudes and technological practices (Mannheim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2021), while broader socio-technical transformations in healthcare risk reinforcing inequalities and exclusion of older populations (</w:t>
      </w:r>
      <w:proofErr w:type="spellStart"/>
      <w:r w:rsidRPr="007D563A">
        <w:rPr>
          <w:rFonts w:ascii="Garamond" w:eastAsiaTheme="minorHAnsi" w:hAnsi="Garamond" w:cs="Arial"/>
          <w:sz w:val="24"/>
          <w:szCs w:val="24"/>
          <w:lang w:val="en-US" w:eastAsia="en-US"/>
        </w:rPr>
        <w:t>Stypińska</w:t>
      </w:r>
      <w:proofErr w:type="spellEnd"/>
      <w:r w:rsidRPr="007D563A">
        <w:rPr>
          <w:rFonts w:ascii="Garamond" w:eastAsiaTheme="minorHAnsi" w:hAnsi="Garamond" w:cs="Arial"/>
          <w:sz w:val="24"/>
          <w:szCs w:val="24"/>
          <w:lang w:val="en-US" w:eastAsia="en-US"/>
        </w:rPr>
        <w:t xml:space="preserve"> &amp; Franke, 2023). Other contributions emphasized how implicit ageist assumptions can influence participatory design processes and the co-creation of services for older users (</w:t>
      </w:r>
      <w:proofErr w:type="spellStart"/>
      <w:r w:rsidRPr="007D563A">
        <w:rPr>
          <w:rFonts w:ascii="Garamond" w:eastAsiaTheme="minorHAnsi" w:hAnsi="Garamond" w:cs="Arial"/>
          <w:sz w:val="24"/>
          <w:szCs w:val="24"/>
          <w:lang w:val="en-US" w:eastAsia="en-US"/>
        </w:rPr>
        <w:t>Comincioli</w:t>
      </w:r>
      <w:proofErr w:type="spellEnd"/>
      <w:r w:rsidRPr="007D563A">
        <w:rPr>
          <w:rFonts w:ascii="Garamond" w:eastAsiaTheme="minorHAnsi" w:hAnsi="Garamond" w:cs="Arial"/>
          <w:sz w:val="24"/>
          <w:szCs w:val="24"/>
          <w:lang w:val="en-US" w:eastAsia="en-US"/>
        </w:rPr>
        <w:t xml:space="preserve"> </w:t>
      </w:r>
      <w:r w:rsidRPr="007D563A">
        <w:rPr>
          <w:rFonts w:ascii="Garamond" w:eastAsiaTheme="minorHAnsi" w:hAnsi="Garamond" w:cs="Arial"/>
          <w:i/>
          <w:iCs/>
          <w:sz w:val="24"/>
          <w:szCs w:val="24"/>
          <w:lang w:val="en-US" w:eastAsia="en-US"/>
        </w:rPr>
        <w:t>et al</w:t>
      </w:r>
      <w:r w:rsidRPr="007D563A">
        <w:rPr>
          <w:rFonts w:ascii="Garamond" w:eastAsiaTheme="minorHAnsi" w:hAnsi="Garamond" w:cs="Arial"/>
          <w:sz w:val="24"/>
          <w:szCs w:val="24"/>
          <w:lang w:val="en-US" w:eastAsia="en-US"/>
        </w:rPr>
        <w:t xml:space="preserve">. 2022), as well as how regulatory and technological frameworks may embed or mitigate algorithmic bias and age-based discrimination in digital health systems (Van </w:t>
      </w:r>
      <w:proofErr w:type="spellStart"/>
      <w:r w:rsidRPr="007D563A">
        <w:rPr>
          <w:rFonts w:ascii="Garamond" w:eastAsiaTheme="minorHAnsi" w:hAnsi="Garamond" w:cs="Arial"/>
          <w:sz w:val="24"/>
          <w:szCs w:val="24"/>
          <w:lang w:val="en-US" w:eastAsia="en-US"/>
        </w:rPr>
        <w:t>Kolfschooten</w:t>
      </w:r>
      <w:proofErr w:type="spellEnd"/>
      <w:r w:rsidRPr="007D563A">
        <w:rPr>
          <w:rFonts w:ascii="Garamond" w:eastAsiaTheme="minorHAnsi" w:hAnsi="Garamond" w:cs="Arial"/>
          <w:sz w:val="24"/>
          <w:szCs w:val="24"/>
          <w:lang w:val="en-US" w:eastAsia="en-US"/>
        </w:rPr>
        <w:t>, 2023).</w:t>
      </w:r>
    </w:p>
    <w:p w14:paraId="1A152611"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Overall, these findings illustrate how ageism operates across multiple interconnected levels, generating heterogeneous but systematically related outcomes. A detailed synthesis of types of ageism, associated outcomes, and mapped studies is provided in Table 2.</w:t>
      </w:r>
    </w:p>
    <w:p w14:paraId="386221CF" w14:textId="77777777" w:rsidR="007D563A" w:rsidRPr="007D563A" w:rsidRDefault="007D563A" w:rsidP="007D563A">
      <w:pPr>
        <w:spacing w:after="0" w:line="240" w:lineRule="auto"/>
        <w:jc w:val="both"/>
        <w:rPr>
          <w:rFonts w:ascii="Garamond" w:eastAsiaTheme="minorHAnsi" w:hAnsi="Garamond" w:cs="Arial"/>
          <w:sz w:val="24"/>
          <w:szCs w:val="24"/>
          <w:lang w:eastAsia="en-US"/>
        </w:rPr>
      </w:pPr>
    </w:p>
    <w:p w14:paraId="27B7CE8E" w14:textId="77777777" w:rsidR="007D563A" w:rsidRPr="007D563A" w:rsidRDefault="007D563A" w:rsidP="007D563A">
      <w:pPr>
        <w:spacing w:after="0" w:line="240" w:lineRule="auto"/>
        <w:jc w:val="both"/>
        <w:rPr>
          <w:rFonts w:ascii="Garamond" w:hAnsi="Garamond" w:cs="Arial"/>
          <w:iCs/>
          <w:lang w:val="en-US" w:eastAsia="en-US"/>
        </w:rPr>
      </w:pPr>
      <w:r w:rsidRPr="007D563A">
        <w:rPr>
          <w:rFonts w:ascii="Garamond" w:hAnsi="Garamond" w:cs="Arial"/>
          <w:b/>
          <w:bCs/>
          <w:iCs/>
          <w:lang w:val="en-US" w:eastAsia="en-US"/>
        </w:rPr>
        <w:t>Tab. 2.</w:t>
      </w:r>
      <w:r w:rsidRPr="007D563A">
        <w:rPr>
          <w:rFonts w:ascii="Garamond" w:hAnsi="Garamond" w:cs="Arial"/>
          <w:iCs/>
          <w:lang w:val="en-US" w:eastAsia="en-US"/>
        </w:rPr>
        <w:t xml:space="preserve"> Types of ageism and associated specific outcomes: evidence from the scoping review (n=55)</w:t>
      </w:r>
    </w:p>
    <w:tbl>
      <w:tblPr>
        <w:tblStyle w:val="TableGrid1"/>
        <w:tblW w:w="907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2551"/>
        <w:gridCol w:w="4961"/>
      </w:tblGrid>
      <w:tr w:rsidR="007D563A" w:rsidRPr="007D563A" w14:paraId="541F8A71" w14:textId="77777777" w:rsidTr="009B67B1">
        <w:trPr>
          <w:trHeight w:val="225"/>
        </w:trPr>
        <w:tc>
          <w:tcPr>
            <w:tcW w:w="1560" w:type="dxa"/>
            <w:tcBorders>
              <w:top w:val="single" w:sz="4" w:space="0" w:color="auto"/>
              <w:left w:val="nil"/>
              <w:bottom w:val="single" w:sz="4" w:space="0" w:color="auto"/>
              <w:right w:val="nil"/>
            </w:tcBorders>
            <w:hideMark/>
          </w:tcPr>
          <w:p w14:paraId="517BD495" w14:textId="77777777" w:rsidR="007D563A" w:rsidRPr="007D563A" w:rsidRDefault="007D563A" w:rsidP="007D563A">
            <w:pPr>
              <w:spacing w:after="200" w:line="276" w:lineRule="auto"/>
              <w:rPr>
                <w:rFonts w:ascii="Garamond" w:eastAsiaTheme="minorHAnsi" w:hAnsi="Garamond" w:cs="NewBaskerville-Roman"/>
                <w:i/>
                <w:iCs/>
                <w:szCs w:val="19"/>
              </w:rPr>
            </w:pPr>
            <w:proofErr w:type="spellStart"/>
            <w:r w:rsidRPr="007D563A">
              <w:rPr>
                <w:rFonts w:ascii="Garamond" w:eastAsiaTheme="minorHAnsi" w:hAnsi="Garamond" w:cs="NewBaskerville-Roman"/>
                <w:i/>
                <w:iCs/>
                <w:szCs w:val="19"/>
              </w:rPr>
              <w:t>Type</w:t>
            </w:r>
            <w:proofErr w:type="spellEnd"/>
          </w:p>
        </w:tc>
        <w:tc>
          <w:tcPr>
            <w:tcW w:w="2551" w:type="dxa"/>
            <w:tcBorders>
              <w:top w:val="single" w:sz="4" w:space="0" w:color="auto"/>
              <w:left w:val="nil"/>
              <w:bottom w:val="single" w:sz="4" w:space="0" w:color="auto"/>
              <w:right w:val="nil"/>
            </w:tcBorders>
            <w:hideMark/>
          </w:tcPr>
          <w:p w14:paraId="16973E69" w14:textId="77777777" w:rsidR="007D563A" w:rsidRPr="007D563A" w:rsidRDefault="007D563A" w:rsidP="007D563A">
            <w:pPr>
              <w:spacing w:after="200" w:line="276" w:lineRule="auto"/>
              <w:rPr>
                <w:rFonts w:ascii="Garamond" w:eastAsiaTheme="minorHAnsi" w:hAnsi="Garamond" w:cs="NewBaskerville-Roman"/>
                <w:i/>
                <w:iCs/>
                <w:szCs w:val="19"/>
              </w:rPr>
            </w:pPr>
            <w:proofErr w:type="spellStart"/>
            <w:r w:rsidRPr="007D563A">
              <w:rPr>
                <w:rFonts w:ascii="Garamond" w:eastAsiaTheme="minorHAnsi" w:hAnsi="Garamond" w:cs="NewBaskerville-Roman"/>
                <w:i/>
                <w:iCs/>
                <w:szCs w:val="19"/>
              </w:rPr>
              <w:t>Specific</w:t>
            </w:r>
            <w:proofErr w:type="spellEnd"/>
            <w:r w:rsidRPr="007D563A">
              <w:rPr>
                <w:rFonts w:ascii="Garamond" w:eastAsiaTheme="minorHAnsi" w:hAnsi="Garamond" w:cs="NewBaskerville-Roman"/>
                <w:i/>
                <w:iCs/>
                <w:szCs w:val="19"/>
              </w:rPr>
              <w:t xml:space="preserve"> </w:t>
            </w:r>
            <w:proofErr w:type="spellStart"/>
            <w:r w:rsidRPr="007D563A">
              <w:rPr>
                <w:rFonts w:ascii="Garamond" w:eastAsiaTheme="minorHAnsi" w:hAnsi="Garamond" w:cs="NewBaskerville-Roman"/>
                <w:i/>
                <w:iCs/>
                <w:szCs w:val="19"/>
              </w:rPr>
              <w:t>outcome</w:t>
            </w:r>
            <w:proofErr w:type="spellEnd"/>
          </w:p>
        </w:tc>
        <w:tc>
          <w:tcPr>
            <w:tcW w:w="4961" w:type="dxa"/>
            <w:tcBorders>
              <w:top w:val="single" w:sz="4" w:space="0" w:color="auto"/>
              <w:left w:val="nil"/>
              <w:bottom w:val="single" w:sz="4" w:space="0" w:color="auto"/>
              <w:right w:val="nil"/>
            </w:tcBorders>
            <w:hideMark/>
          </w:tcPr>
          <w:p w14:paraId="4341F34C" w14:textId="77777777" w:rsidR="007D563A" w:rsidRPr="007D563A" w:rsidRDefault="007D563A" w:rsidP="007D563A">
            <w:pPr>
              <w:spacing w:after="200" w:line="276" w:lineRule="auto"/>
              <w:jc w:val="both"/>
              <w:rPr>
                <w:rFonts w:ascii="Garamond" w:eastAsiaTheme="minorHAnsi" w:hAnsi="Garamond" w:cs="NewBaskerville-Roman"/>
                <w:i/>
                <w:iCs/>
                <w:szCs w:val="19"/>
              </w:rPr>
            </w:pPr>
            <w:r w:rsidRPr="007D563A">
              <w:rPr>
                <w:rFonts w:ascii="Garamond" w:eastAsiaTheme="minorHAnsi" w:hAnsi="Garamond" w:cs="NewBaskerville-Roman"/>
                <w:i/>
                <w:iCs/>
                <w:szCs w:val="19"/>
              </w:rPr>
              <w:t xml:space="preserve">Studies </w:t>
            </w:r>
          </w:p>
        </w:tc>
      </w:tr>
      <w:tr w:rsidR="007D563A" w:rsidRPr="007D563A" w14:paraId="1E7D031B" w14:textId="77777777" w:rsidTr="009B67B1">
        <w:tc>
          <w:tcPr>
            <w:tcW w:w="1560" w:type="dxa"/>
            <w:vMerge w:val="restart"/>
            <w:tcBorders>
              <w:top w:val="single" w:sz="4" w:space="0" w:color="auto"/>
              <w:left w:val="nil"/>
              <w:right w:val="nil"/>
            </w:tcBorders>
            <w:hideMark/>
          </w:tcPr>
          <w:p w14:paraId="590EF71A" w14:textId="77777777" w:rsidR="007D563A" w:rsidRPr="007D563A" w:rsidRDefault="007D563A" w:rsidP="007D563A">
            <w:pPr>
              <w:spacing w:after="200" w:line="276" w:lineRule="auto"/>
              <w:rPr>
                <w:rFonts w:ascii="Garamond" w:eastAsiaTheme="minorHAnsi" w:hAnsi="Garamond" w:cs="NewBaskerville-Roman"/>
                <w:szCs w:val="19"/>
              </w:rPr>
            </w:pPr>
            <w:proofErr w:type="spellStart"/>
            <w:r w:rsidRPr="007D563A">
              <w:rPr>
                <w:rFonts w:ascii="Garamond" w:eastAsiaTheme="minorHAnsi" w:hAnsi="Garamond" w:cs="NewBaskerville-Roman"/>
                <w:szCs w:val="19"/>
              </w:rPr>
              <w:t>Internalized</w:t>
            </w:r>
            <w:proofErr w:type="spellEnd"/>
            <w:r w:rsidRPr="007D563A">
              <w:rPr>
                <w:rFonts w:ascii="Garamond" w:eastAsiaTheme="minorHAnsi" w:hAnsi="Garamond" w:cs="NewBaskerville-Roman"/>
                <w:szCs w:val="19"/>
              </w:rPr>
              <w:t xml:space="preserve"> / Self </w:t>
            </w:r>
            <w:proofErr w:type="spellStart"/>
            <w:r w:rsidRPr="007D563A">
              <w:rPr>
                <w:rFonts w:ascii="Garamond" w:eastAsiaTheme="minorHAnsi" w:hAnsi="Garamond" w:cs="NewBaskerville-Roman"/>
                <w:szCs w:val="19"/>
              </w:rPr>
              <w:t>Ageism</w:t>
            </w:r>
            <w:proofErr w:type="spellEnd"/>
          </w:p>
        </w:tc>
        <w:tc>
          <w:tcPr>
            <w:tcW w:w="2551" w:type="dxa"/>
            <w:tcBorders>
              <w:top w:val="single" w:sz="4" w:space="0" w:color="auto"/>
              <w:left w:val="nil"/>
              <w:bottom w:val="single" w:sz="4" w:space="0" w:color="auto"/>
              <w:right w:val="nil"/>
            </w:tcBorders>
            <w:hideMark/>
          </w:tcPr>
          <w:p w14:paraId="2E2A896C" w14:textId="77777777" w:rsidR="007D563A" w:rsidRPr="007D563A" w:rsidRDefault="007D563A" w:rsidP="007D563A">
            <w:pPr>
              <w:spacing w:after="200" w:line="276" w:lineRule="auto"/>
              <w:rPr>
                <w:rFonts w:ascii="Garamond" w:eastAsiaTheme="minorHAnsi" w:hAnsi="Garamond" w:cs="NewBaskerville-Roman"/>
                <w:szCs w:val="19"/>
                <w:lang w:val="en-US"/>
              </w:rPr>
            </w:pPr>
            <w:r w:rsidRPr="007D563A">
              <w:rPr>
                <w:rFonts w:ascii="Garamond" w:eastAsiaTheme="minorHAnsi" w:hAnsi="Garamond" w:cs="NewBaskerville-Roman"/>
                <w:szCs w:val="19"/>
                <w:lang w:val="en-US"/>
              </w:rPr>
              <w:t>Internalized stereotypes and self-stigma</w:t>
            </w:r>
          </w:p>
        </w:tc>
        <w:tc>
          <w:tcPr>
            <w:tcW w:w="4961" w:type="dxa"/>
            <w:tcBorders>
              <w:top w:val="single" w:sz="4" w:space="0" w:color="auto"/>
              <w:left w:val="nil"/>
              <w:bottom w:val="single" w:sz="4" w:space="0" w:color="auto"/>
              <w:right w:val="nil"/>
            </w:tcBorders>
            <w:hideMark/>
          </w:tcPr>
          <w:p w14:paraId="30E6BA12" w14:textId="77777777" w:rsidR="007D563A" w:rsidRPr="007D563A" w:rsidRDefault="007D563A" w:rsidP="007D563A">
            <w:pPr>
              <w:spacing w:after="200" w:line="276" w:lineRule="auto"/>
              <w:jc w:val="both"/>
              <w:rPr>
                <w:rFonts w:ascii="Garamond" w:eastAsiaTheme="minorHAnsi" w:hAnsi="Garamond" w:cs="NewBaskerville-Roman"/>
                <w:szCs w:val="19"/>
              </w:rPr>
            </w:pPr>
            <w:proofErr w:type="spellStart"/>
            <w:r w:rsidRPr="007D563A">
              <w:rPr>
                <w:rFonts w:ascii="Garamond" w:eastAsiaTheme="minorHAnsi" w:hAnsi="Garamond" w:cs="NewBaskerville-Roman"/>
                <w:szCs w:val="19"/>
              </w:rPr>
              <w:t>Aytulun</w:t>
            </w:r>
            <w:proofErr w:type="spellEnd"/>
            <w:r w:rsidRPr="007D563A">
              <w:rPr>
                <w:rFonts w:ascii="Garamond" w:eastAsiaTheme="minorHAnsi" w:hAnsi="Garamond" w:cs="NewBaskerville-Roman"/>
                <w:szCs w:val="19"/>
              </w:rPr>
              <w:t xml:space="preserve"> &amp; Erden Aki, 2022</w:t>
            </w:r>
          </w:p>
        </w:tc>
      </w:tr>
      <w:tr w:rsidR="007D563A" w:rsidRPr="007D563A" w14:paraId="03A0E894" w14:textId="77777777" w:rsidTr="009B67B1">
        <w:tc>
          <w:tcPr>
            <w:tcW w:w="1560" w:type="dxa"/>
            <w:vMerge/>
            <w:tcBorders>
              <w:left w:val="nil"/>
              <w:right w:val="nil"/>
            </w:tcBorders>
            <w:hideMark/>
          </w:tcPr>
          <w:p w14:paraId="3CECEFFC" w14:textId="77777777" w:rsidR="007D563A" w:rsidRPr="007D563A" w:rsidRDefault="007D563A" w:rsidP="007D563A">
            <w:pPr>
              <w:spacing w:after="200" w:line="276" w:lineRule="auto"/>
              <w:rPr>
                <w:rFonts w:ascii="Garamond" w:eastAsiaTheme="minorHAnsi" w:hAnsi="Garamond" w:cs="NewBaskerville-Roman"/>
                <w:szCs w:val="19"/>
              </w:rPr>
            </w:pPr>
          </w:p>
        </w:tc>
        <w:tc>
          <w:tcPr>
            <w:tcW w:w="2551" w:type="dxa"/>
            <w:tcBorders>
              <w:top w:val="single" w:sz="4" w:space="0" w:color="auto"/>
              <w:left w:val="nil"/>
              <w:bottom w:val="single" w:sz="4" w:space="0" w:color="auto"/>
              <w:right w:val="nil"/>
            </w:tcBorders>
            <w:hideMark/>
          </w:tcPr>
          <w:p w14:paraId="68BF73D5" w14:textId="77777777" w:rsidR="007D563A" w:rsidRPr="007D563A" w:rsidRDefault="007D563A" w:rsidP="007D563A">
            <w:pPr>
              <w:spacing w:after="200" w:line="276" w:lineRule="auto"/>
              <w:rPr>
                <w:rFonts w:ascii="Garamond" w:eastAsiaTheme="minorHAnsi" w:hAnsi="Garamond" w:cs="NewBaskerville-Roman"/>
                <w:szCs w:val="19"/>
              </w:rPr>
            </w:pPr>
            <w:proofErr w:type="spellStart"/>
            <w:r w:rsidRPr="007D563A">
              <w:rPr>
                <w:rFonts w:ascii="Garamond" w:eastAsiaTheme="minorHAnsi" w:hAnsi="Garamond" w:cs="NewBaskerville-Roman"/>
                <w:szCs w:val="19"/>
              </w:rPr>
              <w:t>Psychological</w:t>
            </w:r>
            <w:proofErr w:type="spellEnd"/>
            <w:r w:rsidRPr="007D563A">
              <w:rPr>
                <w:rFonts w:ascii="Garamond" w:eastAsiaTheme="minorHAnsi" w:hAnsi="Garamond" w:cs="NewBaskerville-Roman"/>
                <w:szCs w:val="19"/>
              </w:rPr>
              <w:t xml:space="preserve"> </w:t>
            </w:r>
            <w:proofErr w:type="spellStart"/>
            <w:r w:rsidRPr="007D563A">
              <w:rPr>
                <w:rFonts w:ascii="Garamond" w:eastAsiaTheme="minorHAnsi" w:hAnsi="Garamond" w:cs="NewBaskerville-Roman"/>
                <w:szCs w:val="19"/>
              </w:rPr>
              <w:t>well-being</w:t>
            </w:r>
            <w:proofErr w:type="spellEnd"/>
          </w:p>
        </w:tc>
        <w:tc>
          <w:tcPr>
            <w:tcW w:w="4961" w:type="dxa"/>
            <w:tcBorders>
              <w:top w:val="single" w:sz="4" w:space="0" w:color="auto"/>
              <w:left w:val="nil"/>
              <w:bottom w:val="single" w:sz="4" w:space="0" w:color="auto"/>
              <w:right w:val="nil"/>
            </w:tcBorders>
            <w:hideMark/>
          </w:tcPr>
          <w:p w14:paraId="13CB91B1" w14:textId="77777777" w:rsidR="007D563A" w:rsidRPr="007D563A" w:rsidRDefault="007D563A" w:rsidP="007D563A">
            <w:pPr>
              <w:spacing w:after="200" w:line="276" w:lineRule="auto"/>
              <w:jc w:val="both"/>
              <w:rPr>
                <w:rFonts w:ascii="Garamond" w:eastAsiaTheme="minorHAnsi" w:hAnsi="Garamond" w:cs="NewBaskerville-Roman"/>
                <w:szCs w:val="19"/>
              </w:rPr>
            </w:pPr>
            <w:r w:rsidRPr="007D563A">
              <w:rPr>
                <w:rFonts w:ascii="Garamond" w:eastAsiaTheme="minorHAnsi" w:hAnsi="Garamond" w:cs="NewBaskerville-Roman"/>
                <w:szCs w:val="19"/>
              </w:rPr>
              <w:t>Naughton-</w:t>
            </w:r>
            <w:proofErr w:type="spellStart"/>
            <w:r w:rsidRPr="007D563A">
              <w:rPr>
                <w:rFonts w:ascii="Garamond" w:eastAsiaTheme="minorHAnsi" w:hAnsi="Garamond" w:cs="NewBaskerville-Roman"/>
                <w:szCs w:val="19"/>
              </w:rPr>
              <w:t>Doe</w:t>
            </w:r>
            <w:proofErr w:type="spellEnd"/>
            <w:r w:rsidRPr="007D563A">
              <w:rPr>
                <w:rFonts w:ascii="Garamond" w:eastAsiaTheme="minorHAnsi" w:hAnsi="Garamond" w:cs="NewBaskerville-Roman"/>
                <w:szCs w:val="19"/>
              </w:rPr>
              <w:t xml:space="preserve"> </w:t>
            </w:r>
            <w:r w:rsidRPr="007D563A">
              <w:rPr>
                <w:rFonts w:ascii="Garamond" w:eastAsiaTheme="minorHAnsi" w:hAnsi="Garamond" w:cs="NewBaskerville-Roman"/>
                <w:i/>
                <w:iCs/>
                <w:szCs w:val="19"/>
              </w:rPr>
              <w:t>et al.</w:t>
            </w:r>
            <w:r w:rsidRPr="007D563A">
              <w:rPr>
                <w:rFonts w:ascii="Garamond" w:eastAsiaTheme="minorHAnsi" w:hAnsi="Garamond" w:cs="NewBaskerville-Roman"/>
                <w:szCs w:val="19"/>
              </w:rPr>
              <w:t xml:space="preserve"> 2024; </w:t>
            </w:r>
            <w:proofErr w:type="spellStart"/>
            <w:r w:rsidRPr="007D563A">
              <w:rPr>
                <w:rFonts w:ascii="Garamond" w:eastAsiaTheme="minorHAnsi" w:hAnsi="Garamond" w:cs="NewBaskerville-Roman"/>
                <w:szCs w:val="19"/>
              </w:rPr>
              <w:t>Gallistl</w:t>
            </w:r>
            <w:proofErr w:type="spellEnd"/>
            <w:r w:rsidRPr="007D563A">
              <w:rPr>
                <w:rFonts w:ascii="Garamond" w:eastAsiaTheme="minorHAnsi" w:hAnsi="Garamond" w:cs="NewBaskerville-Roman"/>
                <w:szCs w:val="19"/>
              </w:rPr>
              <w:t xml:space="preserve"> </w:t>
            </w:r>
            <w:r w:rsidRPr="007D563A">
              <w:rPr>
                <w:rFonts w:ascii="Garamond" w:eastAsiaTheme="minorHAnsi" w:hAnsi="Garamond" w:cs="NewBaskerville-Roman"/>
                <w:i/>
                <w:iCs/>
                <w:szCs w:val="19"/>
              </w:rPr>
              <w:t>et al.</w:t>
            </w:r>
            <w:r w:rsidRPr="007D563A">
              <w:rPr>
                <w:rFonts w:ascii="Garamond" w:eastAsiaTheme="minorHAnsi" w:hAnsi="Garamond" w:cs="NewBaskerville-Roman"/>
                <w:szCs w:val="19"/>
              </w:rPr>
              <w:t xml:space="preserve"> 2024; </w:t>
            </w:r>
            <w:proofErr w:type="spellStart"/>
            <w:r w:rsidRPr="007D563A">
              <w:rPr>
                <w:rFonts w:ascii="Garamond" w:eastAsiaTheme="minorHAnsi" w:hAnsi="Garamond" w:cs="NewBaskerville-Roman"/>
                <w:szCs w:val="19"/>
              </w:rPr>
              <w:t>Chenhuichen</w:t>
            </w:r>
            <w:proofErr w:type="spellEnd"/>
            <w:r w:rsidRPr="007D563A">
              <w:rPr>
                <w:rFonts w:ascii="Garamond" w:eastAsiaTheme="minorHAnsi" w:hAnsi="Garamond" w:cs="NewBaskerville-Roman"/>
                <w:szCs w:val="19"/>
              </w:rPr>
              <w:t xml:space="preserve"> </w:t>
            </w:r>
            <w:r w:rsidRPr="007D563A">
              <w:rPr>
                <w:rFonts w:ascii="Garamond" w:eastAsiaTheme="minorHAnsi" w:hAnsi="Garamond" w:cs="NewBaskerville-Roman"/>
                <w:i/>
                <w:iCs/>
                <w:szCs w:val="19"/>
              </w:rPr>
              <w:t>et al.</w:t>
            </w:r>
            <w:r w:rsidRPr="007D563A">
              <w:rPr>
                <w:rFonts w:ascii="Garamond" w:eastAsiaTheme="minorHAnsi" w:hAnsi="Garamond" w:cs="NewBaskerville-Roman"/>
                <w:szCs w:val="19"/>
              </w:rPr>
              <w:t xml:space="preserve"> 2024; Bellanova </w:t>
            </w:r>
            <w:r w:rsidRPr="007D563A">
              <w:rPr>
                <w:rFonts w:ascii="Garamond" w:eastAsiaTheme="minorHAnsi" w:hAnsi="Garamond" w:cs="NewBaskerville-Roman"/>
                <w:i/>
                <w:iCs/>
                <w:szCs w:val="19"/>
              </w:rPr>
              <w:t>et al.</w:t>
            </w:r>
            <w:r w:rsidRPr="007D563A">
              <w:rPr>
                <w:rFonts w:ascii="Garamond" w:eastAsiaTheme="minorHAnsi" w:hAnsi="Garamond" w:cs="NewBaskerville-Roman"/>
                <w:szCs w:val="19"/>
              </w:rPr>
              <w:t xml:space="preserve"> 2024</w:t>
            </w:r>
          </w:p>
        </w:tc>
      </w:tr>
      <w:tr w:rsidR="007D563A" w:rsidRPr="007D563A" w14:paraId="56FEF904" w14:textId="77777777" w:rsidTr="009B67B1">
        <w:tc>
          <w:tcPr>
            <w:tcW w:w="1560" w:type="dxa"/>
            <w:vMerge w:val="restart"/>
            <w:tcBorders>
              <w:top w:val="single" w:sz="4" w:space="0" w:color="auto"/>
              <w:left w:val="nil"/>
              <w:right w:val="nil"/>
            </w:tcBorders>
          </w:tcPr>
          <w:p w14:paraId="4F072EDC" w14:textId="77777777" w:rsidR="007D563A" w:rsidRPr="007D563A" w:rsidRDefault="007D563A" w:rsidP="007D563A">
            <w:pPr>
              <w:spacing w:after="200" w:line="276" w:lineRule="auto"/>
              <w:rPr>
                <w:rFonts w:ascii="Garamond" w:eastAsiaTheme="minorHAnsi" w:hAnsi="Garamond" w:cs="NewBaskerville-Roman"/>
                <w:szCs w:val="19"/>
              </w:rPr>
            </w:pPr>
            <w:proofErr w:type="spellStart"/>
            <w:r w:rsidRPr="007D563A">
              <w:rPr>
                <w:rFonts w:ascii="Garamond" w:eastAsiaTheme="minorHAnsi" w:hAnsi="Garamond" w:cs="NewBaskerville-Roman"/>
                <w:szCs w:val="19"/>
              </w:rPr>
              <w:t>Individual</w:t>
            </w:r>
            <w:proofErr w:type="spellEnd"/>
            <w:r w:rsidRPr="007D563A">
              <w:rPr>
                <w:rFonts w:ascii="Garamond" w:eastAsiaTheme="minorHAnsi" w:hAnsi="Garamond" w:cs="NewBaskerville-Roman"/>
                <w:szCs w:val="19"/>
              </w:rPr>
              <w:t xml:space="preserve"> / </w:t>
            </w:r>
            <w:proofErr w:type="spellStart"/>
            <w:r w:rsidRPr="007D563A">
              <w:rPr>
                <w:rFonts w:ascii="Garamond" w:eastAsiaTheme="minorHAnsi" w:hAnsi="Garamond" w:cs="NewBaskerville-Roman"/>
                <w:szCs w:val="19"/>
              </w:rPr>
              <w:t>Interpersonal</w:t>
            </w:r>
            <w:proofErr w:type="spellEnd"/>
            <w:r w:rsidRPr="007D563A">
              <w:rPr>
                <w:rFonts w:ascii="Garamond" w:eastAsiaTheme="minorHAnsi" w:hAnsi="Garamond" w:cs="NewBaskerville-Roman"/>
                <w:szCs w:val="19"/>
              </w:rPr>
              <w:t xml:space="preserve"> </w:t>
            </w:r>
            <w:proofErr w:type="spellStart"/>
            <w:r w:rsidRPr="007D563A">
              <w:rPr>
                <w:rFonts w:ascii="Garamond" w:eastAsiaTheme="minorHAnsi" w:hAnsi="Garamond" w:cs="NewBaskerville-Roman"/>
                <w:szCs w:val="19"/>
              </w:rPr>
              <w:t>Ageism</w:t>
            </w:r>
            <w:proofErr w:type="spellEnd"/>
          </w:p>
        </w:tc>
        <w:tc>
          <w:tcPr>
            <w:tcW w:w="2551" w:type="dxa"/>
            <w:tcBorders>
              <w:top w:val="single" w:sz="4" w:space="0" w:color="auto"/>
              <w:left w:val="nil"/>
              <w:bottom w:val="single" w:sz="4" w:space="0" w:color="auto"/>
              <w:right w:val="nil"/>
            </w:tcBorders>
          </w:tcPr>
          <w:p w14:paraId="619D977E" w14:textId="77777777" w:rsidR="007D563A" w:rsidRPr="007D563A" w:rsidRDefault="007D563A" w:rsidP="007D563A">
            <w:pPr>
              <w:spacing w:after="200" w:line="276" w:lineRule="auto"/>
              <w:rPr>
                <w:rFonts w:ascii="Garamond" w:eastAsiaTheme="minorHAnsi" w:hAnsi="Garamond" w:cs="NewBaskerville-Roman"/>
                <w:szCs w:val="19"/>
                <w:lang w:val="en-US"/>
              </w:rPr>
            </w:pPr>
            <w:r w:rsidRPr="007D563A">
              <w:rPr>
                <w:rFonts w:ascii="Garamond" w:eastAsiaTheme="minorHAnsi" w:hAnsi="Garamond" w:cs="NewBaskerville-Roman"/>
                <w:szCs w:val="19"/>
                <w:lang w:val="en-US"/>
              </w:rPr>
              <w:t>Attitudes and stereotypes toward older adults</w:t>
            </w:r>
          </w:p>
        </w:tc>
        <w:tc>
          <w:tcPr>
            <w:tcW w:w="4961" w:type="dxa"/>
            <w:tcBorders>
              <w:top w:val="single" w:sz="4" w:space="0" w:color="auto"/>
              <w:left w:val="nil"/>
              <w:bottom w:val="single" w:sz="4" w:space="0" w:color="auto"/>
              <w:right w:val="nil"/>
            </w:tcBorders>
          </w:tcPr>
          <w:p w14:paraId="75C9BA5A" w14:textId="77777777" w:rsidR="007D563A" w:rsidRPr="007D563A" w:rsidRDefault="007D563A" w:rsidP="007D563A">
            <w:pPr>
              <w:spacing w:after="200" w:line="276" w:lineRule="auto"/>
              <w:jc w:val="both"/>
              <w:rPr>
                <w:rFonts w:ascii="Garamond" w:eastAsiaTheme="minorHAnsi" w:hAnsi="Garamond" w:cs="NewBaskerville-Roman"/>
                <w:szCs w:val="19"/>
                <w:lang w:val="en-US"/>
              </w:rPr>
            </w:pPr>
            <w:r w:rsidRPr="007D563A">
              <w:rPr>
                <w:rFonts w:ascii="Garamond" w:eastAsiaTheme="minorHAnsi" w:hAnsi="Garamond" w:cs="NewBaskerville-Roman"/>
                <w:szCs w:val="19"/>
                <w:lang w:val="en-US"/>
              </w:rPr>
              <w:t xml:space="preserve">Özdil </w:t>
            </w:r>
            <w:r w:rsidRPr="007D563A">
              <w:rPr>
                <w:rFonts w:ascii="Garamond" w:eastAsiaTheme="minorHAnsi" w:hAnsi="Garamond" w:cs="NewBaskerville-Roman"/>
                <w:i/>
                <w:iCs/>
                <w:szCs w:val="19"/>
                <w:lang w:val="en-US"/>
              </w:rPr>
              <w:t xml:space="preserve">et al. </w:t>
            </w:r>
            <w:r w:rsidRPr="007D563A">
              <w:rPr>
                <w:rFonts w:ascii="Garamond" w:eastAsiaTheme="minorHAnsi" w:hAnsi="Garamond" w:cs="NewBaskerville-Roman"/>
                <w:szCs w:val="19"/>
                <w:lang w:val="en-US"/>
              </w:rPr>
              <w:t xml:space="preserve">2021; Knight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2022; </w:t>
            </w:r>
            <w:proofErr w:type="spellStart"/>
            <w:r w:rsidRPr="007D563A">
              <w:rPr>
                <w:rFonts w:ascii="Garamond" w:eastAsiaTheme="minorHAnsi" w:hAnsi="Garamond" w:cs="NewBaskerville-Roman"/>
                <w:szCs w:val="19"/>
                <w:lang w:val="en-US"/>
              </w:rPr>
              <w:t>Heckemann</w:t>
            </w:r>
            <w:proofErr w:type="spellEnd"/>
            <w:r w:rsidRPr="007D563A">
              <w:rPr>
                <w:rFonts w:ascii="Garamond" w:eastAsiaTheme="minorHAnsi" w:hAnsi="Garamond" w:cs="NewBaskerville-Roman"/>
                <w:szCs w:val="19"/>
                <w:lang w:val="en-US"/>
              </w:rPr>
              <w:t xml:space="preserve">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2022; </w:t>
            </w:r>
            <w:proofErr w:type="spellStart"/>
            <w:r w:rsidRPr="007D563A">
              <w:rPr>
                <w:rFonts w:ascii="Garamond" w:eastAsiaTheme="minorHAnsi" w:hAnsi="Garamond" w:cs="NewBaskerville-Roman"/>
                <w:szCs w:val="19"/>
                <w:lang w:val="en-US"/>
              </w:rPr>
              <w:t>Schüttengruber</w:t>
            </w:r>
            <w:proofErr w:type="spellEnd"/>
            <w:r w:rsidRPr="007D563A">
              <w:rPr>
                <w:rFonts w:ascii="Garamond" w:eastAsiaTheme="minorHAnsi" w:hAnsi="Garamond" w:cs="NewBaskerville-Roman"/>
                <w:szCs w:val="19"/>
                <w:lang w:val="en-US"/>
              </w:rPr>
              <w:t xml:space="preserve">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2022; Castellano-Rioja </w:t>
            </w:r>
            <w:r w:rsidRPr="007D563A">
              <w:rPr>
                <w:rFonts w:ascii="Garamond" w:eastAsiaTheme="minorHAnsi" w:hAnsi="Garamond" w:cs="NewBaskerville-Roman"/>
                <w:i/>
                <w:iCs/>
                <w:szCs w:val="19"/>
                <w:lang w:val="en-US"/>
              </w:rPr>
              <w:t xml:space="preserve">et al. </w:t>
            </w:r>
            <w:r w:rsidRPr="007D563A">
              <w:rPr>
                <w:rFonts w:ascii="Garamond" w:eastAsiaTheme="minorHAnsi" w:hAnsi="Garamond" w:cs="NewBaskerville-Roman"/>
                <w:szCs w:val="19"/>
                <w:lang w:val="en-US"/>
              </w:rPr>
              <w:t xml:space="preserve">2022; Nitschke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2022; Cerqueira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2023; </w:t>
            </w:r>
            <w:proofErr w:type="spellStart"/>
            <w:r w:rsidRPr="007D563A">
              <w:rPr>
                <w:rFonts w:ascii="Garamond" w:eastAsiaTheme="minorHAnsi" w:hAnsi="Garamond" w:cs="NewBaskerville-Roman"/>
                <w:szCs w:val="19"/>
                <w:lang w:val="en-US"/>
              </w:rPr>
              <w:t>Allué</w:t>
            </w:r>
            <w:proofErr w:type="spellEnd"/>
            <w:r w:rsidRPr="007D563A">
              <w:rPr>
                <w:rFonts w:ascii="Garamond" w:eastAsiaTheme="minorHAnsi" w:hAnsi="Garamond" w:cs="NewBaskerville-Roman"/>
                <w:szCs w:val="19"/>
                <w:lang w:val="en-US"/>
              </w:rPr>
              <w:t xml:space="preserve">-Sierra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2023; </w:t>
            </w:r>
            <w:proofErr w:type="spellStart"/>
            <w:r w:rsidRPr="007D563A">
              <w:rPr>
                <w:rFonts w:ascii="Garamond" w:eastAsiaTheme="minorHAnsi" w:hAnsi="Garamond" w:cs="NewBaskerville-Roman"/>
                <w:szCs w:val="19"/>
                <w:lang w:val="en-US"/>
              </w:rPr>
              <w:t>Lampersberger</w:t>
            </w:r>
            <w:proofErr w:type="spellEnd"/>
            <w:r w:rsidRPr="007D563A">
              <w:rPr>
                <w:rFonts w:ascii="Garamond" w:eastAsiaTheme="minorHAnsi" w:hAnsi="Garamond" w:cs="NewBaskerville-Roman"/>
                <w:szCs w:val="19"/>
                <w:lang w:val="en-US"/>
              </w:rPr>
              <w:t xml:space="preserve">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2023; </w:t>
            </w:r>
            <w:proofErr w:type="spellStart"/>
            <w:r w:rsidRPr="007D563A">
              <w:rPr>
                <w:rFonts w:ascii="Garamond" w:eastAsiaTheme="minorHAnsi" w:hAnsi="Garamond" w:cs="NewBaskerville-Roman"/>
                <w:szCs w:val="19"/>
                <w:lang w:val="en-US"/>
              </w:rPr>
              <w:t>Piaton</w:t>
            </w:r>
            <w:proofErr w:type="spellEnd"/>
            <w:r w:rsidRPr="007D563A">
              <w:rPr>
                <w:rFonts w:ascii="Garamond" w:eastAsiaTheme="minorHAnsi" w:hAnsi="Garamond" w:cs="NewBaskerville-Roman"/>
                <w:szCs w:val="19"/>
                <w:lang w:val="en-US"/>
              </w:rPr>
              <w:t xml:space="preserve">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2024; D’hondt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2024; </w:t>
            </w:r>
            <w:proofErr w:type="spellStart"/>
            <w:r w:rsidRPr="007D563A">
              <w:rPr>
                <w:rFonts w:ascii="Garamond" w:eastAsiaTheme="minorHAnsi" w:hAnsi="Garamond" w:cs="NewBaskerville-Roman"/>
                <w:szCs w:val="19"/>
                <w:lang w:val="en-US"/>
              </w:rPr>
              <w:t>Gümüşler</w:t>
            </w:r>
            <w:proofErr w:type="spellEnd"/>
            <w:r w:rsidRPr="007D563A">
              <w:rPr>
                <w:rFonts w:ascii="Garamond" w:eastAsiaTheme="minorHAnsi" w:hAnsi="Garamond" w:cs="NewBaskerville-Roman"/>
                <w:szCs w:val="19"/>
                <w:lang w:val="en-US"/>
              </w:rPr>
              <w:t xml:space="preserve"> Başaran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2024; Pons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2025; Elvira-</w:t>
            </w:r>
            <w:proofErr w:type="spellStart"/>
            <w:r w:rsidRPr="007D563A">
              <w:rPr>
                <w:rFonts w:ascii="Garamond" w:eastAsiaTheme="minorHAnsi" w:hAnsi="Garamond" w:cs="NewBaskerville-Roman"/>
                <w:szCs w:val="19"/>
                <w:lang w:val="en-US"/>
              </w:rPr>
              <w:t>Zorzo</w:t>
            </w:r>
            <w:proofErr w:type="spellEnd"/>
            <w:r w:rsidRPr="007D563A">
              <w:rPr>
                <w:rFonts w:ascii="Garamond" w:eastAsiaTheme="minorHAnsi" w:hAnsi="Garamond" w:cs="NewBaskerville-Roman"/>
                <w:szCs w:val="19"/>
                <w:lang w:val="en-US"/>
              </w:rPr>
              <w:t xml:space="preserve"> &amp; Vega Rodríguez, 2025; </w:t>
            </w:r>
            <w:proofErr w:type="spellStart"/>
            <w:r w:rsidRPr="007D563A">
              <w:rPr>
                <w:rFonts w:ascii="Garamond" w:eastAsiaTheme="minorHAnsi" w:hAnsi="Garamond" w:cs="NewBaskerville-Roman"/>
                <w:szCs w:val="19"/>
                <w:lang w:val="en-US"/>
              </w:rPr>
              <w:t>Catalao</w:t>
            </w:r>
            <w:proofErr w:type="spellEnd"/>
            <w:r w:rsidRPr="007D563A">
              <w:rPr>
                <w:rFonts w:ascii="Garamond" w:eastAsiaTheme="minorHAnsi" w:hAnsi="Garamond" w:cs="NewBaskerville-Roman"/>
                <w:szCs w:val="19"/>
                <w:lang w:val="en-US"/>
              </w:rPr>
              <w:t xml:space="preserve"> </w:t>
            </w:r>
            <w:r w:rsidRPr="007D563A">
              <w:rPr>
                <w:rFonts w:ascii="Garamond" w:eastAsiaTheme="minorHAnsi" w:hAnsi="Garamond" w:cs="NewBaskerville-Roman"/>
                <w:i/>
                <w:iCs/>
                <w:szCs w:val="19"/>
                <w:lang w:val="en-US"/>
              </w:rPr>
              <w:t>et al.</w:t>
            </w:r>
            <w:r w:rsidRPr="007D563A">
              <w:rPr>
                <w:rFonts w:ascii="Garamond" w:eastAsiaTheme="minorHAnsi" w:hAnsi="Garamond" w:cs="NewBaskerville-Roman"/>
                <w:szCs w:val="19"/>
                <w:lang w:val="en-US"/>
              </w:rPr>
              <w:t xml:space="preserve"> 2025</w:t>
            </w:r>
          </w:p>
        </w:tc>
      </w:tr>
      <w:tr w:rsidR="007D563A" w:rsidRPr="007D563A" w14:paraId="1924AAEE" w14:textId="77777777" w:rsidTr="009B67B1">
        <w:tc>
          <w:tcPr>
            <w:tcW w:w="1560" w:type="dxa"/>
            <w:vMerge/>
            <w:tcBorders>
              <w:left w:val="nil"/>
              <w:right w:val="nil"/>
            </w:tcBorders>
          </w:tcPr>
          <w:p w14:paraId="0EA40511" w14:textId="77777777" w:rsidR="007D563A" w:rsidRPr="007D563A" w:rsidRDefault="007D563A" w:rsidP="007D563A">
            <w:pPr>
              <w:spacing w:after="200" w:line="276" w:lineRule="auto"/>
              <w:rPr>
                <w:rFonts w:ascii="Garamond" w:eastAsiaTheme="minorHAnsi" w:hAnsi="Garamond" w:cs="NewBaskerville-Roman"/>
                <w:szCs w:val="19"/>
                <w:lang w:val="en-US"/>
              </w:rPr>
            </w:pPr>
          </w:p>
        </w:tc>
        <w:tc>
          <w:tcPr>
            <w:tcW w:w="2551" w:type="dxa"/>
            <w:tcBorders>
              <w:top w:val="single" w:sz="4" w:space="0" w:color="auto"/>
              <w:left w:val="nil"/>
              <w:bottom w:val="single" w:sz="4" w:space="0" w:color="auto"/>
              <w:right w:val="nil"/>
            </w:tcBorders>
          </w:tcPr>
          <w:p w14:paraId="45632542" w14:textId="77777777" w:rsidR="007D563A" w:rsidRPr="007D563A" w:rsidRDefault="007D563A" w:rsidP="007D563A">
            <w:pPr>
              <w:spacing w:after="200" w:line="276" w:lineRule="auto"/>
              <w:rPr>
                <w:rFonts w:ascii="Garamond" w:eastAsiaTheme="minorHAnsi" w:hAnsi="Garamond" w:cs="NewBaskerville-Roman"/>
                <w:szCs w:val="19"/>
                <w:lang w:val="en-US"/>
              </w:rPr>
            </w:pPr>
            <w:r w:rsidRPr="007D563A">
              <w:rPr>
                <w:rFonts w:ascii="Garamond" w:eastAsiaTheme="minorHAnsi" w:hAnsi="Garamond" w:cs="NewBaskerville-Roman"/>
                <w:szCs w:val="19"/>
                <w:lang w:val="en-US"/>
              </w:rPr>
              <w:t>Clinical communication and care quality</w:t>
            </w:r>
          </w:p>
        </w:tc>
        <w:tc>
          <w:tcPr>
            <w:tcW w:w="4961" w:type="dxa"/>
            <w:tcBorders>
              <w:top w:val="single" w:sz="4" w:space="0" w:color="auto"/>
              <w:left w:val="nil"/>
              <w:bottom w:val="single" w:sz="4" w:space="0" w:color="auto"/>
              <w:right w:val="nil"/>
            </w:tcBorders>
          </w:tcPr>
          <w:p w14:paraId="079924C7" w14:textId="77777777" w:rsidR="007D563A" w:rsidRPr="007D563A" w:rsidRDefault="007D563A" w:rsidP="007D563A">
            <w:pPr>
              <w:spacing w:after="200" w:line="276" w:lineRule="auto"/>
              <w:jc w:val="both"/>
              <w:rPr>
                <w:rFonts w:ascii="Garamond" w:eastAsiaTheme="minorHAnsi" w:hAnsi="Garamond" w:cs="NewBaskerville-Roman"/>
                <w:szCs w:val="19"/>
                <w:lang w:val="fr-FR"/>
              </w:rPr>
            </w:pPr>
            <w:r w:rsidRPr="007D563A">
              <w:rPr>
                <w:rFonts w:ascii="Garamond" w:eastAsiaTheme="minorHAnsi" w:hAnsi="Garamond" w:cs="NewBaskerville-Roman"/>
                <w:szCs w:val="19"/>
                <w:lang w:val="fr-FR"/>
              </w:rPr>
              <w:t xml:space="preserve">Gram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2023;</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Martínez</w:t>
            </w:r>
            <w:proofErr w:type="spellEnd"/>
            <w:r w:rsidRPr="007D563A">
              <w:rPr>
                <w:rFonts w:ascii="Garamond" w:eastAsiaTheme="minorHAnsi" w:hAnsi="Garamond" w:cs="NewBaskerville-Roman"/>
                <w:szCs w:val="19"/>
                <w:lang w:val="fr-FR"/>
              </w:rPr>
              <w:t xml:space="preserve">-Angulo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2023</w:t>
            </w:r>
            <w:proofErr w:type="gramStart"/>
            <w:r w:rsidRPr="007D563A">
              <w:rPr>
                <w:rFonts w:ascii="Garamond" w:eastAsiaTheme="minorHAnsi" w:hAnsi="Garamond" w:cs="NewBaskerville-Roman"/>
                <w:szCs w:val="19"/>
                <w:lang w:val="fr-FR"/>
              </w:rPr>
              <w:t>a;</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Martínez</w:t>
            </w:r>
            <w:proofErr w:type="spellEnd"/>
            <w:r w:rsidRPr="007D563A">
              <w:rPr>
                <w:rFonts w:ascii="Garamond" w:eastAsiaTheme="minorHAnsi" w:hAnsi="Garamond" w:cs="NewBaskerville-Roman"/>
                <w:szCs w:val="19"/>
                <w:lang w:val="fr-FR"/>
              </w:rPr>
              <w:t xml:space="preserve">-Angulo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2023</w:t>
            </w:r>
            <w:proofErr w:type="gramStart"/>
            <w:r w:rsidRPr="007D563A">
              <w:rPr>
                <w:rFonts w:ascii="Garamond" w:eastAsiaTheme="minorHAnsi" w:hAnsi="Garamond" w:cs="NewBaskerville-Roman"/>
                <w:szCs w:val="19"/>
                <w:lang w:val="fr-FR"/>
              </w:rPr>
              <w:t>b;</w:t>
            </w:r>
            <w:proofErr w:type="gramEnd"/>
            <w:r w:rsidRPr="007D563A">
              <w:rPr>
                <w:rFonts w:ascii="Garamond" w:eastAsiaTheme="minorHAnsi" w:hAnsi="Garamond" w:cs="NewBaskerville-Roman"/>
                <w:szCs w:val="19"/>
                <w:lang w:val="fr-FR"/>
              </w:rPr>
              <w:t xml:space="preserve"> Draper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2024</w:t>
            </w:r>
          </w:p>
        </w:tc>
      </w:tr>
      <w:tr w:rsidR="007D563A" w:rsidRPr="007D563A" w14:paraId="6214C307" w14:textId="77777777" w:rsidTr="009B67B1">
        <w:tc>
          <w:tcPr>
            <w:tcW w:w="1560" w:type="dxa"/>
            <w:vMerge w:val="restart"/>
            <w:tcBorders>
              <w:top w:val="single" w:sz="4" w:space="0" w:color="auto"/>
              <w:left w:val="nil"/>
              <w:right w:val="nil"/>
            </w:tcBorders>
          </w:tcPr>
          <w:p w14:paraId="2EBE2EA0" w14:textId="77777777" w:rsidR="007D563A" w:rsidRPr="007D563A" w:rsidRDefault="007D563A" w:rsidP="007D563A">
            <w:pPr>
              <w:spacing w:after="200" w:line="276" w:lineRule="auto"/>
              <w:rPr>
                <w:rFonts w:ascii="Garamond" w:eastAsiaTheme="minorHAnsi" w:hAnsi="Garamond" w:cs="NewBaskerville-Roman"/>
                <w:szCs w:val="19"/>
                <w:lang w:val="en-US"/>
              </w:rPr>
            </w:pPr>
            <w:r w:rsidRPr="007D563A">
              <w:rPr>
                <w:rFonts w:ascii="Garamond" w:eastAsiaTheme="minorHAnsi" w:hAnsi="Garamond" w:cs="NewBaskerville-Roman"/>
                <w:szCs w:val="19"/>
                <w:lang w:val="en-US"/>
              </w:rPr>
              <w:t>Institutional / Organizational Ageism</w:t>
            </w:r>
          </w:p>
        </w:tc>
        <w:tc>
          <w:tcPr>
            <w:tcW w:w="2551" w:type="dxa"/>
            <w:tcBorders>
              <w:top w:val="single" w:sz="4" w:space="0" w:color="auto"/>
              <w:left w:val="nil"/>
              <w:bottom w:val="single" w:sz="4" w:space="0" w:color="auto"/>
              <w:right w:val="nil"/>
            </w:tcBorders>
          </w:tcPr>
          <w:p w14:paraId="510F7283" w14:textId="77777777" w:rsidR="007D563A" w:rsidRPr="007D563A" w:rsidRDefault="007D563A" w:rsidP="007D563A">
            <w:pPr>
              <w:spacing w:after="200" w:line="276" w:lineRule="auto"/>
              <w:rPr>
                <w:rFonts w:ascii="Garamond" w:eastAsiaTheme="minorHAnsi" w:hAnsi="Garamond" w:cs="NewBaskerville-Roman"/>
                <w:szCs w:val="19"/>
                <w:lang w:val="en-US"/>
              </w:rPr>
            </w:pPr>
            <w:r w:rsidRPr="007D563A">
              <w:rPr>
                <w:rFonts w:ascii="Garamond" w:eastAsiaTheme="minorHAnsi" w:hAnsi="Garamond" w:cs="NewBaskerville-Roman"/>
                <w:szCs w:val="19"/>
                <w:lang w:val="en-US"/>
              </w:rPr>
              <w:t>Organizational practices and workforce outcomes in hospital and socio</w:t>
            </w:r>
            <w:r w:rsidRPr="007D563A">
              <w:rPr>
                <w:rFonts w:ascii="Garamond" w:eastAsiaTheme="minorHAnsi" w:hAnsi="Garamond" w:cs="NewBaskerville-Roman"/>
                <w:szCs w:val="19"/>
                <w:lang w:val="en-US"/>
              </w:rPr>
              <w:noBreakHyphen/>
              <w:t>healthcare settings</w:t>
            </w:r>
          </w:p>
        </w:tc>
        <w:tc>
          <w:tcPr>
            <w:tcW w:w="4961" w:type="dxa"/>
            <w:tcBorders>
              <w:top w:val="single" w:sz="4" w:space="0" w:color="auto"/>
              <w:left w:val="nil"/>
              <w:bottom w:val="single" w:sz="4" w:space="0" w:color="auto"/>
              <w:right w:val="nil"/>
            </w:tcBorders>
          </w:tcPr>
          <w:p w14:paraId="58A8E2E1" w14:textId="77777777" w:rsidR="007D563A" w:rsidRPr="007D563A" w:rsidRDefault="007D563A" w:rsidP="007D563A">
            <w:pPr>
              <w:spacing w:after="200" w:line="276" w:lineRule="auto"/>
              <w:jc w:val="both"/>
              <w:rPr>
                <w:rFonts w:ascii="Garamond" w:eastAsiaTheme="minorHAnsi" w:hAnsi="Garamond" w:cs="NewBaskerville-Roman"/>
                <w:szCs w:val="19"/>
                <w:lang w:val="fr-FR"/>
              </w:rPr>
            </w:pPr>
            <w:r w:rsidRPr="007D563A">
              <w:rPr>
                <w:rFonts w:ascii="Garamond" w:eastAsiaTheme="minorHAnsi" w:hAnsi="Garamond" w:cs="NewBaskerville-Roman"/>
                <w:szCs w:val="19"/>
                <w:lang w:val="fr-FR"/>
              </w:rPr>
              <w:t xml:space="preserve">López-Frutos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2022;</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Helaß</w:t>
            </w:r>
            <w:proofErr w:type="spellEnd"/>
            <w:r w:rsidRPr="007D563A">
              <w:rPr>
                <w:rFonts w:ascii="Garamond" w:eastAsiaTheme="minorHAnsi" w:hAnsi="Garamond" w:cs="NewBaskerville-Roman"/>
                <w:szCs w:val="19"/>
                <w:lang w:val="fr-FR"/>
              </w:rPr>
              <w:t xml:space="preserve">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2024</w:t>
            </w:r>
          </w:p>
        </w:tc>
      </w:tr>
      <w:tr w:rsidR="007D563A" w:rsidRPr="007D563A" w14:paraId="3B644106" w14:textId="77777777" w:rsidTr="009B67B1">
        <w:tc>
          <w:tcPr>
            <w:tcW w:w="1560" w:type="dxa"/>
            <w:vMerge/>
            <w:tcBorders>
              <w:left w:val="nil"/>
              <w:right w:val="nil"/>
            </w:tcBorders>
          </w:tcPr>
          <w:p w14:paraId="518AD5F5" w14:textId="77777777" w:rsidR="007D563A" w:rsidRPr="007D563A" w:rsidRDefault="007D563A" w:rsidP="007D563A">
            <w:pPr>
              <w:spacing w:after="200" w:line="276" w:lineRule="auto"/>
              <w:rPr>
                <w:rFonts w:ascii="Garamond" w:eastAsiaTheme="minorHAnsi" w:hAnsi="Garamond" w:cs="NewBaskerville-Roman"/>
                <w:szCs w:val="19"/>
                <w:lang w:val="fr-FR"/>
              </w:rPr>
            </w:pPr>
          </w:p>
        </w:tc>
        <w:tc>
          <w:tcPr>
            <w:tcW w:w="2551" w:type="dxa"/>
            <w:tcBorders>
              <w:top w:val="single" w:sz="4" w:space="0" w:color="auto"/>
              <w:left w:val="nil"/>
              <w:bottom w:val="single" w:sz="4" w:space="0" w:color="auto"/>
              <w:right w:val="nil"/>
            </w:tcBorders>
          </w:tcPr>
          <w:p w14:paraId="563EFFDA" w14:textId="77777777" w:rsidR="007D563A" w:rsidRPr="007D563A" w:rsidRDefault="007D563A" w:rsidP="007D563A">
            <w:pPr>
              <w:spacing w:after="200" w:line="276" w:lineRule="auto"/>
              <w:rPr>
                <w:rFonts w:ascii="Garamond" w:eastAsiaTheme="minorHAnsi" w:hAnsi="Garamond" w:cs="NewBaskerville-Roman"/>
                <w:szCs w:val="19"/>
              </w:rPr>
            </w:pPr>
            <w:r w:rsidRPr="007D563A">
              <w:rPr>
                <w:rFonts w:ascii="Garamond" w:eastAsiaTheme="minorHAnsi" w:hAnsi="Garamond" w:cs="NewBaskerville-Roman"/>
                <w:szCs w:val="19"/>
                <w:lang w:val="en-US"/>
              </w:rPr>
              <w:t>Education and training effects</w:t>
            </w:r>
          </w:p>
        </w:tc>
        <w:tc>
          <w:tcPr>
            <w:tcW w:w="4961" w:type="dxa"/>
            <w:tcBorders>
              <w:top w:val="single" w:sz="4" w:space="0" w:color="auto"/>
              <w:left w:val="nil"/>
              <w:bottom w:val="single" w:sz="4" w:space="0" w:color="auto"/>
              <w:right w:val="nil"/>
            </w:tcBorders>
          </w:tcPr>
          <w:p w14:paraId="49EA44F5" w14:textId="77777777" w:rsidR="007D563A" w:rsidRPr="007D563A" w:rsidRDefault="007D563A" w:rsidP="007D563A">
            <w:pPr>
              <w:spacing w:after="200" w:line="276" w:lineRule="auto"/>
              <w:jc w:val="both"/>
              <w:rPr>
                <w:rFonts w:ascii="Garamond" w:eastAsiaTheme="minorHAnsi" w:hAnsi="Garamond" w:cs="NewBaskerville-Roman"/>
                <w:szCs w:val="19"/>
                <w:lang w:val="fr-FR"/>
              </w:rPr>
            </w:pPr>
            <w:r w:rsidRPr="007D563A">
              <w:rPr>
                <w:rFonts w:ascii="Garamond" w:eastAsiaTheme="minorHAnsi" w:hAnsi="Garamond" w:cs="NewBaskerville-Roman"/>
                <w:szCs w:val="19"/>
                <w:lang w:val="fr-FR"/>
              </w:rPr>
              <w:t xml:space="preserve">Fitzpatrick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2021;</w:t>
            </w:r>
            <w:proofErr w:type="gramEnd"/>
            <w:r w:rsidRPr="007D563A">
              <w:rPr>
                <w:rFonts w:ascii="Garamond" w:eastAsiaTheme="minorHAnsi" w:hAnsi="Garamond" w:cs="NewBaskerville-Roman"/>
                <w:szCs w:val="19"/>
                <w:lang w:val="fr-FR"/>
              </w:rPr>
              <w:t xml:space="preserve"> Fernandes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2022;</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Piaton</w:t>
            </w:r>
            <w:proofErr w:type="spellEnd"/>
            <w:r w:rsidRPr="007D563A">
              <w:rPr>
                <w:rFonts w:ascii="Garamond" w:eastAsiaTheme="minorHAnsi" w:hAnsi="Garamond" w:cs="NewBaskerville-Roman"/>
                <w:szCs w:val="19"/>
                <w:lang w:val="fr-FR"/>
              </w:rPr>
              <w:t xml:space="preserve"> </w:t>
            </w:r>
            <w:r w:rsidRPr="007D563A">
              <w:rPr>
                <w:rFonts w:ascii="Garamond" w:eastAsiaTheme="minorHAnsi" w:hAnsi="Garamond" w:cs="NewBaskerville-Roman"/>
                <w:i/>
                <w:iCs/>
                <w:szCs w:val="19"/>
                <w:lang w:val="fr-FR"/>
              </w:rPr>
              <w:t xml:space="preserve">et al. </w:t>
            </w:r>
            <w:proofErr w:type="gramStart"/>
            <w:r w:rsidRPr="007D563A">
              <w:rPr>
                <w:rFonts w:ascii="Garamond" w:eastAsiaTheme="minorHAnsi" w:hAnsi="Garamond" w:cs="NewBaskerville-Roman"/>
                <w:szCs w:val="19"/>
                <w:lang w:val="fr-FR"/>
              </w:rPr>
              <w:t>2023;</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Bouwmeester</w:t>
            </w:r>
            <w:proofErr w:type="spell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Stjernetun</w:t>
            </w:r>
            <w:proofErr w:type="spellEnd"/>
            <w:r w:rsidRPr="007D563A">
              <w:rPr>
                <w:rFonts w:ascii="Garamond" w:eastAsiaTheme="minorHAnsi" w:hAnsi="Garamond" w:cs="NewBaskerville-Roman"/>
                <w:szCs w:val="19"/>
                <w:lang w:val="fr-FR"/>
              </w:rPr>
              <w:t xml:space="preserve">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2024</w:t>
            </w:r>
            <w:proofErr w:type="gramStart"/>
            <w:r w:rsidRPr="007D563A">
              <w:rPr>
                <w:rFonts w:ascii="Garamond" w:eastAsiaTheme="minorHAnsi" w:hAnsi="Garamond" w:cs="NewBaskerville-Roman"/>
                <w:szCs w:val="19"/>
                <w:lang w:val="fr-FR"/>
              </w:rPr>
              <w:t>a;</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Bouwmeester</w:t>
            </w:r>
            <w:proofErr w:type="spell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Stjernetun</w:t>
            </w:r>
            <w:proofErr w:type="spellEnd"/>
            <w:r w:rsidRPr="007D563A">
              <w:rPr>
                <w:rFonts w:ascii="Garamond" w:eastAsiaTheme="minorHAnsi" w:hAnsi="Garamond" w:cs="NewBaskerville-Roman"/>
                <w:szCs w:val="19"/>
                <w:lang w:val="fr-FR"/>
              </w:rPr>
              <w:t xml:space="preserve">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2024</w:t>
            </w:r>
            <w:proofErr w:type="gramStart"/>
            <w:r w:rsidRPr="007D563A">
              <w:rPr>
                <w:rFonts w:ascii="Garamond" w:eastAsiaTheme="minorHAnsi" w:hAnsi="Garamond" w:cs="NewBaskerville-Roman"/>
                <w:szCs w:val="19"/>
                <w:lang w:val="fr-FR"/>
              </w:rPr>
              <w:t>b;</w:t>
            </w:r>
            <w:proofErr w:type="gramEnd"/>
            <w:r w:rsidRPr="007D563A">
              <w:rPr>
                <w:rFonts w:ascii="Garamond" w:eastAsiaTheme="minorHAnsi" w:hAnsi="Garamond" w:cs="NewBaskerville-Roman"/>
                <w:szCs w:val="19"/>
                <w:lang w:val="fr-FR"/>
              </w:rPr>
              <w:t xml:space="preserve"> Başer &amp; </w:t>
            </w:r>
            <w:proofErr w:type="spellStart"/>
            <w:r w:rsidRPr="007D563A">
              <w:rPr>
                <w:rFonts w:ascii="Garamond" w:eastAsiaTheme="minorHAnsi" w:hAnsi="Garamond" w:cs="NewBaskerville-Roman"/>
                <w:szCs w:val="19"/>
                <w:lang w:val="fr-FR"/>
              </w:rPr>
              <w:t>Hisar</w:t>
            </w:r>
            <w:proofErr w:type="spellEnd"/>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2024;</w:t>
            </w:r>
            <w:proofErr w:type="gramEnd"/>
            <w:r w:rsidRPr="007D563A">
              <w:rPr>
                <w:rFonts w:ascii="Garamond" w:eastAsiaTheme="minorHAnsi" w:hAnsi="Garamond" w:cs="NewBaskerville-Roman"/>
                <w:szCs w:val="19"/>
                <w:lang w:val="fr-FR"/>
              </w:rPr>
              <w:t xml:space="preserve"> Pearson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2025</w:t>
            </w:r>
          </w:p>
        </w:tc>
      </w:tr>
      <w:tr w:rsidR="007D563A" w:rsidRPr="007D563A" w14:paraId="69D88338" w14:textId="77777777" w:rsidTr="009B67B1">
        <w:tc>
          <w:tcPr>
            <w:tcW w:w="1560" w:type="dxa"/>
            <w:vMerge w:val="restart"/>
            <w:tcBorders>
              <w:top w:val="single" w:sz="4" w:space="0" w:color="auto"/>
              <w:left w:val="nil"/>
              <w:right w:val="nil"/>
            </w:tcBorders>
          </w:tcPr>
          <w:p w14:paraId="101F4ABD" w14:textId="77777777" w:rsidR="007D563A" w:rsidRPr="007D563A" w:rsidRDefault="007D563A" w:rsidP="007D563A">
            <w:pPr>
              <w:spacing w:after="200" w:line="276" w:lineRule="auto"/>
              <w:rPr>
                <w:rFonts w:ascii="Garamond" w:eastAsiaTheme="minorHAnsi" w:hAnsi="Garamond" w:cs="NewBaskerville-Roman"/>
                <w:szCs w:val="19"/>
              </w:rPr>
            </w:pPr>
            <w:proofErr w:type="spellStart"/>
            <w:r w:rsidRPr="007D563A">
              <w:rPr>
                <w:rFonts w:ascii="Garamond" w:eastAsiaTheme="minorHAnsi" w:hAnsi="Garamond" w:cs="NewBaskerville-Roman"/>
                <w:szCs w:val="19"/>
              </w:rPr>
              <w:t>Structural</w:t>
            </w:r>
            <w:proofErr w:type="spellEnd"/>
            <w:r w:rsidRPr="007D563A">
              <w:rPr>
                <w:rFonts w:ascii="Garamond" w:eastAsiaTheme="minorHAnsi" w:hAnsi="Garamond" w:cs="NewBaskerville-Roman"/>
                <w:szCs w:val="19"/>
              </w:rPr>
              <w:t xml:space="preserve"> / </w:t>
            </w:r>
            <w:proofErr w:type="spellStart"/>
            <w:r w:rsidRPr="007D563A">
              <w:rPr>
                <w:rFonts w:ascii="Garamond" w:eastAsiaTheme="minorHAnsi" w:hAnsi="Garamond" w:cs="NewBaskerville-Roman"/>
                <w:szCs w:val="19"/>
              </w:rPr>
              <w:t>Systemic</w:t>
            </w:r>
            <w:proofErr w:type="spellEnd"/>
            <w:r w:rsidRPr="007D563A">
              <w:rPr>
                <w:rFonts w:ascii="Garamond" w:eastAsiaTheme="minorHAnsi" w:hAnsi="Garamond" w:cs="NewBaskerville-Roman"/>
                <w:szCs w:val="19"/>
              </w:rPr>
              <w:t xml:space="preserve"> </w:t>
            </w:r>
            <w:proofErr w:type="spellStart"/>
            <w:r w:rsidRPr="007D563A">
              <w:rPr>
                <w:rFonts w:ascii="Garamond" w:eastAsiaTheme="minorHAnsi" w:hAnsi="Garamond" w:cs="NewBaskerville-Roman"/>
                <w:szCs w:val="19"/>
              </w:rPr>
              <w:t>Ageism</w:t>
            </w:r>
            <w:proofErr w:type="spellEnd"/>
          </w:p>
        </w:tc>
        <w:tc>
          <w:tcPr>
            <w:tcW w:w="2551" w:type="dxa"/>
            <w:tcBorders>
              <w:top w:val="single" w:sz="4" w:space="0" w:color="auto"/>
              <w:left w:val="nil"/>
              <w:bottom w:val="single" w:sz="4" w:space="0" w:color="auto"/>
              <w:right w:val="nil"/>
            </w:tcBorders>
          </w:tcPr>
          <w:p w14:paraId="1B82FA0C" w14:textId="77777777" w:rsidR="007D563A" w:rsidRPr="007D563A" w:rsidRDefault="007D563A" w:rsidP="007D563A">
            <w:pPr>
              <w:spacing w:after="200" w:line="276" w:lineRule="auto"/>
              <w:rPr>
                <w:rFonts w:ascii="Garamond" w:eastAsiaTheme="minorHAnsi" w:hAnsi="Garamond" w:cs="NewBaskerville-Roman"/>
                <w:szCs w:val="19"/>
                <w:lang w:val="en-US"/>
              </w:rPr>
            </w:pPr>
            <w:r w:rsidRPr="007D563A">
              <w:rPr>
                <w:rFonts w:ascii="Garamond" w:eastAsiaTheme="minorHAnsi" w:hAnsi="Garamond" w:cs="NewBaskerville-Roman"/>
                <w:szCs w:val="19"/>
                <w:lang w:val="en-US"/>
              </w:rPr>
              <w:t>Health inequities and access to care</w:t>
            </w:r>
          </w:p>
        </w:tc>
        <w:tc>
          <w:tcPr>
            <w:tcW w:w="4961" w:type="dxa"/>
            <w:tcBorders>
              <w:top w:val="single" w:sz="4" w:space="0" w:color="auto"/>
              <w:left w:val="nil"/>
              <w:bottom w:val="single" w:sz="4" w:space="0" w:color="auto"/>
              <w:right w:val="nil"/>
            </w:tcBorders>
          </w:tcPr>
          <w:p w14:paraId="0ABF597B" w14:textId="77777777" w:rsidR="007D563A" w:rsidRPr="007D563A" w:rsidRDefault="007D563A" w:rsidP="007D563A">
            <w:pPr>
              <w:spacing w:after="200" w:line="276" w:lineRule="auto"/>
              <w:jc w:val="both"/>
              <w:rPr>
                <w:rFonts w:ascii="Garamond" w:eastAsiaTheme="minorHAnsi" w:hAnsi="Garamond" w:cs="NewBaskerville-Roman"/>
                <w:szCs w:val="19"/>
                <w:lang w:val="fr-FR"/>
              </w:rPr>
            </w:pPr>
            <w:r w:rsidRPr="007D563A">
              <w:rPr>
                <w:rFonts w:ascii="Garamond" w:eastAsiaTheme="minorHAnsi" w:hAnsi="Garamond" w:cs="NewBaskerville-Roman"/>
                <w:szCs w:val="19"/>
                <w:lang w:val="fr-FR"/>
              </w:rPr>
              <w:t xml:space="preserve">Trevisan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2021;</w:t>
            </w:r>
            <w:proofErr w:type="gramEnd"/>
            <w:r w:rsidRPr="007D563A">
              <w:rPr>
                <w:rFonts w:ascii="Garamond" w:eastAsiaTheme="minorHAnsi" w:hAnsi="Garamond" w:cs="NewBaskerville-Roman"/>
                <w:szCs w:val="19"/>
                <w:lang w:val="fr-FR"/>
              </w:rPr>
              <w:t xml:space="preserve"> Miralles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2021;</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Crosignani</w:t>
            </w:r>
            <w:proofErr w:type="spellEnd"/>
            <w:r w:rsidRPr="007D563A">
              <w:rPr>
                <w:rFonts w:ascii="Garamond" w:eastAsiaTheme="minorHAnsi" w:hAnsi="Garamond" w:cs="NewBaskerville-Roman"/>
                <w:szCs w:val="19"/>
                <w:lang w:val="fr-FR"/>
              </w:rPr>
              <w:t xml:space="preserve">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2021;</w:t>
            </w:r>
            <w:proofErr w:type="gramEnd"/>
            <w:r w:rsidRPr="007D563A">
              <w:rPr>
                <w:rFonts w:ascii="Garamond" w:eastAsiaTheme="minorHAnsi" w:hAnsi="Garamond" w:cs="NewBaskerville-Roman"/>
                <w:szCs w:val="19"/>
                <w:lang w:val="fr-FR"/>
              </w:rPr>
              <w:t xml:space="preserve"> Pinho &amp; </w:t>
            </w:r>
            <w:proofErr w:type="spellStart"/>
            <w:r w:rsidRPr="007D563A">
              <w:rPr>
                <w:rFonts w:ascii="Garamond" w:eastAsiaTheme="minorHAnsi" w:hAnsi="Garamond" w:cs="NewBaskerville-Roman"/>
                <w:szCs w:val="19"/>
                <w:lang w:val="fr-FR"/>
              </w:rPr>
              <w:t>Araújo</w:t>
            </w:r>
            <w:proofErr w:type="spellEnd"/>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2022;</w:t>
            </w:r>
            <w:proofErr w:type="gramEnd"/>
            <w:r w:rsidRPr="007D563A">
              <w:rPr>
                <w:rFonts w:ascii="Garamond" w:eastAsiaTheme="minorHAnsi" w:hAnsi="Garamond" w:cs="NewBaskerville-Roman"/>
                <w:szCs w:val="19"/>
                <w:lang w:val="fr-FR"/>
              </w:rPr>
              <w:t xml:space="preserve"> McDonald, </w:t>
            </w:r>
            <w:proofErr w:type="gramStart"/>
            <w:r w:rsidRPr="007D563A">
              <w:rPr>
                <w:rFonts w:ascii="Garamond" w:eastAsiaTheme="minorHAnsi" w:hAnsi="Garamond" w:cs="NewBaskerville-Roman"/>
                <w:szCs w:val="19"/>
                <w:lang w:val="fr-FR"/>
              </w:rPr>
              <w:t>2022;</w:t>
            </w:r>
            <w:proofErr w:type="gramEnd"/>
            <w:r w:rsidRPr="007D563A">
              <w:rPr>
                <w:rFonts w:ascii="Garamond" w:eastAsiaTheme="minorHAnsi" w:hAnsi="Garamond" w:cs="NewBaskerville-Roman"/>
                <w:szCs w:val="19"/>
                <w:lang w:val="fr-FR"/>
              </w:rPr>
              <w:t xml:space="preserve"> Rodriguez-Rodriguez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2022;</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Settels</w:t>
            </w:r>
            <w:proofErr w:type="spellEnd"/>
            <w:r w:rsidRPr="007D563A">
              <w:rPr>
                <w:rFonts w:ascii="Garamond" w:eastAsiaTheme="minorHAnsi" w:hAnsi="Garamond" w:cs="NewBaskerville-Roman"/>
                <w:szCs w:val="19"/>
                <w:lang w:val="fr-FR"/>
              </w:rPr>
              <w:t xml:space="preserve"> &amp; Leist, </w:t>
            </w:r>
            <w:proofErr w:type="gramStart"/>
            <w:r w:rsidRPr="007D563A">
              <w:rPr>
                <w:rFonts w:ascii="Garamond" w:eastAsiaTheme="minorHAnsi" w:hAnsi="Garamond" w:cs="NewBaskerville-Roman"/>
                <w:szCs w:val="19"/>
                <w:lang w:val="fr-FR"/>
              </w:rPr>
              <w:t>2022;</w:t>
            </w:r>
            <w:proofErr w:type="gramEnd"/>
            <w:r w:rsidRPr="007D563A">
              <w:rPr>
                <w:rFonts w:ascii="Garamond" w:eastAsiaTheme="minorHAnsi" w:hAnsi="Garamond" w:cs="NewBaskerville-Roman"/>
                <w:szCs w:val="19"/>
                <w:lang w:val="fr-FR"/>
              </w:rPr>
              <w:t xml:space="preserve"> Teaster &amp; Giwa, </w:t>
            </w:r>
            <w:proofErr w:type="gramStart"/>
            <w:r w:rsidRPr="007D563A">
              <w:rPr>
                <w:rFonts w:ascii="Garamond" w:eastAsiaTheme="minorHAnsi" w:hAnsi="Garamond" w:cs="NewBaskerville-Roman"/>
                <w:szCs w:val="19"/>
                <w:lang w:val="fr-FR"/>
              </w:rPr>
              <w:t>2023;</w:t>
            </w:r>
            <w:proofErr w:type="gramEnd"/>
            <w:r w:rsidRPr="007D563A">
              <w:rPr>
                <w:rFonts w:ascii="Garamond" w:eastAsiaTheme="minorHAnsi" w:hAnsi="Garamond" w:cs="NewBaskerville-Roman"/>
                <w:szCs w:val="19"/>
                <w:lang w:val="fr-FR"/>
              </w:rPr>
              <w:t xml:space="preserve"> </w:t>
            </w:r>
            <w:proofErr w:type="spellStart"/>
            <w:r w:rsidRPr="007D563A">
              <w:rPr>
                <w:rFonts w:ascii="Garamond" w:eastAsiaTheme="minorHAnsi" w:hAnsi="Garamond" w:cs="NewBaskerville-Roman"/>
                <w:szCs w:val="19"/>
                <w:lang w:val="fr-FR"/>
              </w:rPr>
              <w:t>Uwitonze</w:t>
            </w:r>
            <w:proofErr w:type="spellEnd"/>
            <w:r w:rsidRPr="007D563A">
              <w:rPr>
                <w:rFonts w:ascii="Garamond" w:eastAsiaTheme="minorHAnsi" w:hAnsi="Garamond" w:cs="NewBaskerville-Roman"/>
                <w:szCs w:val="19"/>
                <w:lang w:val="fr-FR"/>
              </w:rPr>
              <w:t xml:space="preserve">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2024;</w:t>
            </w:r>
            <w:proofErr w:type="gramEnd"/>
            <w:r w:rsidRPr="007D563A">
              <w:rPr>
                <w:rFonts w:ascii="Garamond" w:eastAsiaTheme="minorHAnsi" w:hAnsi="Garamond" w:cs="NewBaskerville-Roman"/>
                <w:szCs w:val="19"/>
                <w:lang w:val="fr-FR"/>
              </w:rPr>
              <w:t xml:space="preserve"> Paar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2024;</w:t>
            </w:r>
            <w:proofErr w:type="gramEnd"/>
            <w:r w:rsidRPr="007D563A">
              <w:rPr>
                <w:rFonts w:ascii="Garamond" w:eastAsiaTheme="minorHAnsi" w:hAnsi="Garamond" w:cs="NewBaskerville-Roman"/>
                <w:szCs w:val="19"/>
                <w:lang w:val="fr-FR"/>
              </w:rPr>
              <w:t xml:space="preserve"> Fumagalli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2025 </w:t>
            </w:r>
          </w:p>
        </w:tc>
      </w:tr>
      <w:tr w:rsidR="007D563A" w:rsidRPr="007D563A" w14:paraId="1EC68895" w14:textId="77777777" w:rsidTr="009B67B1">
        <w:tc>
          <w:tcPr>
            <w:tcW w:w="1560" w:type="dxa"/>
            <w:vMerge/>
            <w:tcBorders>
              <w:left w:val="nil"/>
              <w:right w:val="nil"/>
            </w:tcBorders>
          </w:tcPr>
          <w:p w14:paraId="322EFCBF" w14:textId="77777777" w:rsidR="007D563A" w:rsidRPr="007D563A" w:rsidRDefault="007D563A" w:rsidP="007D563A">
            <w:pPr>
              <w:spacing w:after="200" w:line="276" w:lineRule="auto"/>
              <w:rPr>
                <w:rFonts w:ascii="Garamond" w:eastAsiaTheme="minorHAnsi" w:hAnsi="Garamond" w:cs="NewBaskerville-Roman"/>
                <w:szCs w:val="19"/>
                <w:lang w:val="fr-FR"/>
              </w:rPr>
            </w:pPr>
          </w:p>
        </w:tc>
        <w:tc>
          <w:tcPr>
            <w:tcW w:w="2551" w:type="dxa"/>
            <w:tcBorders>
              <w:top w:val="single" w:sz="4" w:space="0" w:color="auto"/>
              <w:left w:val="nil"/>
              <w:bottom w:val="single" w:sz="4" w:space="0" w:color="auto"/>
              <w:right w:val="nil"/>
            </w:tcBorders>
          </w:tcPr>
          <w:p w14:paraId="4FA2F976" w14:textId="77777777" w:rsidR="007D563A" w:rsidRPr="007D563A" w:rsidRDefault="007D563A" w:rsidP="007D563A">
            <w:pPr>
              <w:spacing w:after="200" w:line="276" w:lineRule="auto"/>
              <w:rPr>
                <w:rFonts w:ascii="Garamond" w:eastAsiaTheme="minorHAnsi" w:hAnsi="Garamond" w:cs="NewBaskerville-Roman"/>
                <w:szCs w:val="19"/>
                <w:lang w:val="en-US"/>
              </w:rPr>
            </w:pPr>
            <w:r w:rsidRPr="007D563A">
              <w:rPr>
                <w:rFonts w:ascii="Garamond" w:eastAsiaTheme="minorHAnsi" w:hAnsi="Garamond" w:cs="NewBaskerville-Roman"/>
                <w:szCs w:val="19"/>
                <w:lang w:val="en-US"/>
              </w:rPr>
              <w:t>Ethical, normative and symbolic outcomes</w:t>
            </w:r>
          </w:p>
        </w:tc>
        <w:tc>
          <w:tcPr>
            <w:tcW w:w="4961" w:type="dxa"/>
            <w:tcBorders>
              <w:top w:val="single" w:sz="4" w:space="0" w:color="auto"/>
              <w:left w:val="nil"/>
              <w:bottom w:val="single" w:sz="4" w:space="0" w:color="auto"/>
              <w:right w:val="nil"/>
            </w:tcBorders>
          </w:tcPr>
          <w:p w14:paraId="3A49080C" w14:textId="77777777" w:rsidR="007D563A" w:rsidRPr="007D563A" w:rsidRDefault="007D563A" w:rsidP="007D563A">
            <w:pPr>
              <w:spacing w:after="200" w:line="276" w:lineRule="auto"/>
              <w:jc w:val="both"/>
              <w:rPr>
                <w:rFonts w:ascii="Garamond" w:eastAsiaTheme="minorHAnsi" w:hAnsi="Garamond" w:cs="NewBaskerville-Roman"/>
                <w:szCs w:val="19"/>
                <w:lang w:val="fr-FR"/>
              </w:rPr>
            </w:pPr>
            <w:r w:rsidRPr="007D563A">
              <w:rPr>
                <w:rFonts w:ascii="Garamond" w:eastAsiaTheme="minorHAnsi" w:hAnsi="Garamond" w:cs="NewBaskerville-Roman"/>
                <w:szCs w:val="19"/>
                <w:lang w:val="fr-FR"/>
              </w:rPr>
              <w:t xml:space="preserve">Nitschke et al., </w:t>
            </w:r>
            <w:proofErr w:type="gramStart"/>
            <w:r w:rsidRPr="007D563A">
              <w:rPr>
                <w:rFonts w:ascii="Garamond" w:eastAsiaTheme="minorHAnsi" w:hAnsi="Garamond" w:cs="NewBaskerville-Roman"/>
                <w:szCs w:val="19"/>
                <w:lang w:val="fr-FR"/>
              </w:rPr>
              <w:t>2021;</w:t>
            </w:r>
            <w:proofErr w:type="gramEnd"/>
            <w:r w:rsidRPr="007D563A">
              <w:rPr>
                <w:rFonts w:ascii="Garamond" w:eastAsiaTheme="minorHAnsi" w:hAnsi="Garamond" w:cs="NewBaskerville-Roman"/>
                <w:szCs w:val="19"/>
                <w:lang w:val="fr-FR"/>
              </w:rPr>
              <w:t xml:space="preserve"> Lloyd-Sherlock et al., </w:t>
            </w:r>
            <w:proofErr w:type="gramStart"/>
            <w:r w:rsidRPr="007D563A">
              <w:rPr>
                <w:rFonts w:ascii="Garamond" w:eastAsiaTheme="minorHAnsi" w:hAnsi="Garamond" w:cs="NewBaskerville-Roman"/>
                <w:szCs w:val="19"/>
                <w:lang w:val="fr-FR"/>
              </w:rPr>
              <w:t>2022;</w:t>
            </w:r>
            <w:proofErr w:type="gramEnd"/>
            <w:r w:rsidRPr="007D563A">
              <w:rPr>
                <w:rFonts w:ascii="Garamond" w:eastAsiaTheme="minorHAnsi" w:hAnsi="Garamond" w:cs="NewBaskerville-Roman"/>
                <w:szCs w:val="19"/>
                <w:lang w:val="fr-FR"/>
              </w:rPr>
              <w:t xml:space="preserve"> Langmann, </w:t>
            </w:r>
            <w:proofErr w:type="gramStart"/>
            <w:r w:rsidRPr="007D563A">
              <w:rPr>
                <w:rFonts w:ascii="Garamond" w:eastAsiaTheme="minorHAnsi" w:hAnsi="Garamond" w:cs="NewBaskerville-Roman"/>
                <w:szCs w:val="19"/>
                <w:lang w:val="fr-FR"/>
              </w:rPr>
              <w:t>2023;</w:t>
            </w:r>
            <w:proofErr w:type="gramEnd"/>
            <w:r w:rsidRPr="007D563A">
              <w:rPr>
                <w:rFonts w:ascii="Garamond" w:eastAsiaTheme="minorHAnsi" w:hAnsi="Garamond" w:cs="NewBaskerville-Roman"/>
                <w:szCs w:val="19"/>
                <w:lang w:val="fr-FR"/>
              </w:rPr>
              <w:t xml:space="preserve"> Bows et al., 2024 ; Bortolotti, </w:t>
            </w:r>
            <w:proofErr w:type="gramStart"/>
            <w:r w:rsidRPr="007D563A">
              <w:rPr>
                <w:rFonts w:ascii="Garamond" w:eastAsiaTheme="minorHAnsi" w:hAnsi="Garamond" w:cs="NewBaskerville-Roman"/>
                <w:szCs w:val="19"/>
                <w:lang w:val="fr-FR"/>
              </w:rPr>
              <w:t>2025;</w:t>
            </w:r>
            <w:proofErr w:type="gramEnd"/>
            <w:r w:rsidRPr="007D563A">
              <w:rPr>
                <w:rFonts w:ascii="Garamond" w:eastAsiaTheme="minorHAnsi" w:hAnsi="Garamond" w:cs="NewBaskerville-Roman"/>
                <w:szCs w:val="19"/>
                <w:lang w:val="fr-FR"/>
              </w:rPr>
              <w:t xml:space="preserve"> Costa </w:t>
            </w:r>
            <w:r w:rsidRPr="007D563A">
              <w:rPr>
                <w:rFonts w:ascii="Garamond" w:eastAsiaTheme="minorHAnsi" w:hAnsi="Garamond" w:cs="NewBaskerville-Roman"/>
                <w:i/>
                <w:iCs/>
                <w:szCs w:val="19"/>
                <w:lang w:val="fr-FR"/>
              </w:rPr>
              <w:t>et al.</w:t>
            </w:r>
            <w:r w:rsidRPr="007D563A">
              <w:rPr>
                <w:rFonts w:ascii="Garamond" w:eastAsiaTheme="minorHAnsi" w:hAnsi="Garamond" w:cs="NewBaskerville-Roman"/>
                <w:szCs w:val="19"/>
                <w:lang w:val="fr-FR"/>
              </w:rPr>
              <w:t xml:space="preserve"> </w:t>
            </w:r>
            <w:proofErr w:type="gramStart"/>
            <w:r w:rsidRPr="007D563A">
              <w:rPr>
                <w:rFonts w:ascii="Garamond" w:eastAsiaTheme="minorHAnsi" w:hAnsi="Garamond" w:cs="NewBaskerville-Roman"/>
                <w:szCs w:val="19"/>
                <w:lang w:val="fr-FR"/>
              </w:rPr>
              <w:t>2025;</w:t>
            </w:r>
            <w:proofErr w:type="gramEnd"/>
            <w:r w:rsidRPr="007D563A">
              <w:rPr>
                <w:rFonts w:ascii="Garamond" w:eastAsiaTheme="minorHAnsi" w:hAnsi="Garamond" w:cs="NewBaskerville-Roman"/>
                <w:szCs w:val="19"/>
                <w:lang w:val="fr-FR"/>
              </w:rPr>
              <w:t xml:space="preserve"> Langmann </w:t>
            </w:r>
            <w:r w:rsidRPr="007D563A">
              <w:rPr>
                <w:rFonts w:ascii="Garamond" w:eastAsiaTheme="minorHAnsi" w:hAnsi="Garamond" w:cs="NewBaskerville-Roman"/>
                <w:i/>
                <w:iCs/>
                <w:szCs w:val="19"/>
                <w:lang w:val="fr-FR"/>
              </w:rPr>
              <w:t xml:space="preserve">et al. </w:t>
            </w:r>
            <w:r w:rsidRPr="007D563A">
              <w:rPr>
                <w:rFonts w:ascii="Garamond" w:eastAsiaTheme="minorHAnsi" w:hAnsi="Garamond" w:cs="NewBaskerville-Roman"/>
                <w:szCs w:val="19"/>
                <w:lang w:val="fr-FR"/>
              </w:rPr>
              <w:t>2025</w:t>
            </w:r>
          </w:p>
        </w:tc>
      </w:tr>
      <w:tr w:rsidR="007D563A" w:rsidRPr="007D563A" w14:paraId="5A65D2A9" w14:textId="77777777" w:rsidTr="009B67B1">
        <w:tc>
          <w:tcPr>
            <w:tcW w:w="1560" w:type="dxa"/>
            <w:vMerge/>
            <w:tcBorders>
              <w:left w:val="nil"/>
              <w:bottom w:val="single" w:sz="4" w:space="0" w:color="auto"/>
              <w:right w:val="nil"/>
            </w:tcBorders>
          </w:tcPr>
          <w:p w14:paraId="417275E6" w14:textId="77777777" w:rsidR="007D563A" w:rsidRPr="007D563A" w:rsidRDefault="007D563A" w:rsidP="007D563A">
            <w:pPr>
              <w:spacing w:after="200" w:line="276" w:lineRule="auto"/>
              <w:rPr>
                <w:rFonts w:ascii="Garamond" w:eastAsiaTheme="minorHAnsi" w:hAnsi="Garamond" w:cs="NewBaskerville-Roman"/>
                <w:szCs w:val="19"/>
                <w:lang w:val="fr-FR"/>
              </w:rPr>
            </w:pPr>
          </w:p>
        </w:tc>
        <w:tc>
          <w:tcPr>
            <w:tcW w:w="2551" w:type="dxa"/>
            <w:tcBorders>
              <w:top w:val="single" w:sz="4" w:space="0" w:color="auto"/>
              <w:left w:val="nil"/>
              <w:bottom w:val="single" w:sz="4" w:space="0" w:color="auto"/>
              <w:right w:val="nil"/>
            </w:tcBorders>
          </w:tcPr>
          <w:p w14:paraId="5F21D41E" w14:textId="77777777" w:rsidR="007D563A" w:rsidRPr="007D563A" w:rsidRDefault="007D563A" w:rsidP="007D563A">
            <w:pPr>
              <w:spacing w:after="200" w:line="276" w:lineRule="auto"/>
              <w:rPr>
                <w:rFonts w:ascii="Garamond" w:eastAsiaTheme="minorHAnsi" w:hAnsi="Garamond" w:cs="NewBaskerville-Roman"/>
                <w:szCs w:val="19"/>
                <w:lang w:val="en-US"/>
              </w:rPr>
            </w:pPr>
            <w:r w:rsidRPr="007D563A">
              <w:rPr>
                <w:rFonts w:ascii="Garamond" w:eastAsiaTheme="minorHAnsi" w:hAnsi="Garamond" w:cs="NewBaskerville-Roman"/>
                <w:szCs w:val="19"/>
                <w:lang w:val="en-US"/>
              </w:rPr>
              <w:t>Digital ageism and service design</w:t>
            </w:r>
          </w:p>
        </w:tc>
        <w:tc>
          <w:tcPr>
            <w:tcW w:w="4961" w:type="dxa"/>
            <w:tcBorders>
              <w:top w:val="single" w:sz="4" w:space="0" w:color="auto"/>
              <w:left w:val="nil"/>
              <w:bottom w:val="single" w:sz="4" w:space="0" w:color="auto"/>
              <w:right w:val="nil"/>
            </w:tcBorders>
          </w:tcPr>
          <w:p w14:paraId="2FD35B64" w14:textId="77777777" w:rsidR="007D563A" w:rsidRPr="007D563A" w:rsidRDefault="007D563A" w:rsidP="007D563A">
            <w:pPr>
              <w:spacing w:after="200" w:line="276" w:lineRule="auto"/>
              <w:jc w:val="both"/>
              <w:rPr>
                <w:rFonts w:ascii="Garamond" w:eastAsiaTheme="minorHAnsi" w:hAnsi="Garamond" w:cs="NewBaskerville-Roman"/>
                <w:szCs w:val="19"/>
              </w:rPr>
            </w:pPr>
            <w:r w:rsidRPr="007D563A">
              <w:rPr>
                <w:rFonts w:ascii="Garamond" w:eastAsiaTheme="minorHAnsi" w:hAnsi="Garamond" w:cs="NewBaskerville-Roman"/>
                <w:szCs w:val="19"/>
              </w:rPr>
              <w:t xml:space="preserve">Mannheim </w:t>
            </w:r>
            <w:r w:rsidRPr="007D563A">
              <w:rPr>
                <w:rFonts w:ascii="Garamond" w:eastAsiaTheme="minorHAnsi" w:hAnsi="Garamond" w:cs="NewBaskerville-Roman"/>
                <w:i/>
                <w:iCs/>
                <w:szCs w:val="19"/>
              </w:rPr>
              <w:t>et al.</w:t>
            </w:r>
            <w:r w:rsidRPr="007D563A">
              <w:rPr>
                <w:rFonts w:ascii="Garamond" w:eastAsiaTheme="minorHAnsi" w:hAnsi="Garamond" w:cs="NewBaskerville-Roman"/>
                <w:szCs w:val="19"/>
              </w:rPr>
              <w:t xml:space="preserve"> 2021; Comincioli </w:t>
            </w:r>
            <w:r w:rsidRPr="007D563A">
              <w:rPr>
                <w:rFonts w:ascii="Garamond" w:eastAsiaTheme="minorHAnsi" w:hAnsi="Garamond" w:cs="NewBaskerville-Roman"/>
                <w:i/>
                <w:iCs/>
                <w:szCs w:val="19"/>
              </w:rPr>
              <w:t>et al.</w:t>
            </w:r>
            <w:r w:rsidRPr="007D563A">
              <w:rPr>
                <w:rFonts w:ascii="Garamond" w:eastAsiaTheme="minorHAnsi" w:hAnsi="Garamond" w:cs="NewBaskerville-Roman"/>
                <w:szCs w:val="19"/>
              </w:rPr>
              <w:t xml:space="preserve"> 2022; </w:t>
            </w:r>
            <w:proofErr w:type="spellStart"/>
            <w:r w:rsidRPr="007D563A">
              <w:rPr>
                <w:rFonts w:ascii="Garamond" w:eastAsiaTheme="minorHAnsi" w:hAnsi="Garamond" w:cs="NewBaskerville-Roman"/>
                <w:szCs w:val="19"/>
              </w:rPr>
              <w:t>Stypińska</w:t>
            </w:r>
            <w:proofErr w:type="spellEnd"/>
            <w:r w:rsidRPr="007D563A">
              <w:rPr>
                <w:rFonts w:ascii="Garamond" w:eastAsiaTheme="minorHAnsi" w:hAnsi="Garamond" w:cs="NewBaskerville-Roman"/>
                <w:szCs w:val="19"/>
              </w:rPr>
              <w:t xml:space="preserve"> &amp; Franke, 2023; Van Kolfschooten, 2023</w:t>
            </w:r>
          </w:p>
        </w:tc>
      </w:tr>
    </w:tbl>
    <w:p w14:paraId="0F4F743D" w14:textId="77777777" w:rsidR="007D563A" w:rsidRPr="007D563A" w:rsidRDefault="007D563A" w:rsidP="007D563A">
      <w:pPr>
        <w:spacing w:after="0" w:line="240" w:lineRule="auto"/>
        <w:jc w:val="both"/>
        <w:rPr>
          <w:rFonts w:ascii="Garamond" w:hAnsi="Garamond" w:cs="NewBaskerville-Roman"/>
          <w:iCs/>
          <w:szCs w:val="19"/>
          <w:lang w:val="it-IT" w:eastAsia="en-US"/>
        </w:rPr>
      </w:pPr>
      <w:r w:rsidRPr="007D563A">
        <w:rPr>
          <w:rFonts w:ascii="Garamond" w:hAnsi="Garamond" w:cs="Arial"/>
          <w:i/>
          <w:lang w:val="it-IT" w:eastAsia="en-US"/>
        </w:rPr>
        <w:t>Source</w:t>
      </w:r>
      <w:r w:rsidRPr="007D563A">
        <w:rPr>
          <w:rFonts w:ascii="Garamond" w:hAnsi="Garamond" w:cs="Arial"/>
          <w:iCs/>
          <w:lang w:val="it-IT" w:eastAsia="en-US"/>
        </w:rPr>
        <w:t xml:space="preserve">: </w:t>
      </w:r>
      <w:proofErr w:type="spellStart"/>
      <w:r w:rsidRPr="007D563A">
        <w:rPr>
          <w:rFonts w:ascii="Garamond" w:hAnsi="Garamond" w:cs="NewBaskerville-Roman"/>
          <w:iCs/>
          <w:szCs w:val="19"/>
          <w:lang w:val="it-IT" w:eastAsia="en-US"/>
        </w:rPr>
        <w:t>Authors</w:t>
      </w:r>
      <w:proofErr w:type="spellEnd"/>
      <w:r w:rsidRPr="007D563A">
        <w:rPr>
          <w:rFonts w:ascii="Garamond" w:hAnsi="Garamond" w:cs="NewBaskerville-Roman"/>
          <w:iCs/>
          <w:szCs w:val="19"/>
          <w:lang w:val="it-IT" w:eastAsia="en-US"/>
        </w:rPr>
        <w:t xml:space="preserve">’ </w:t>
      </w:r>
      <w:proofErr w:type="spellStart"/>
      <w:r w:rsidRPr="007D563A">
        <w:rPr>
          <w:rFonts w:ascii="Garamond" w:hAnsi="Garamond" w:cs="NewBaskerville-Roman"/>
          <w:iCs/>
          <w:szCs w:val="19"/>
          <w:lang w:val="it-IT" w:eastAsia="en-US"/>
        </w:rPr>
        <w:t>own</w:t>
      </w:r>
      <w:proofErr w:type="spellEnd"/>
      <w:r w:rsidRPr="007D563A">
        <w:rPr>
          <w:rFonts w:ascii="Garamond" w:hAnsi="Garamond" w:cs="NewBaskerville-Roman"/>
          <w:iCs/>
          <w:szCs w:val="19"/>
          <w:lang w:val="it-IT" w:eastAsia="en-US"/>
        </w:rPr>
        <w:t xml:space="preserve"> </w:t>
      </w:r>
      <w:proofErr w:type="spellStart"/>
      <w:r w:rsidRPr="007D563A">
        <w:rPr>
          <w:rFonts w:ascii="Garamond" w:hAnsi="Garamond" w:cs="NewBaskerville-Roman"/>
          <w:iCs/>
          <w:szCs w:val="19"/>
          <w:lang w:val="it-IT" w:eastAsia="en-US"/>
        </w:rPr>
        <w:t>elaboration</w:t>
      </w:r>
      <w:proofErr w:type="spellEnd"/>
    </w:p>
    <w:p w14:paraId="762B0FA4" w14:textId="77777777" w:rsidR="007D563A" w:rsidRPr="007D563A" w:rsidRDefault="007D563A" w:rsidP="007D563A">
      <w:pPr>
        <w:tabs>
          <w:tab w:val="center" w:pos="4606"/>
        </w:tabs>
        <w:spacing w:after="0" w:line="240" w:lineRule="auto"/>
        <w:jc w:val="both"/>
        <w:rPr>
          <w:rFonts w:ascii="Garamond" w:eastAsiaTheme="minorHAnsi" w:hAnsi="Garamond" w:cs="Arial"/>
          <w:iCs/>
          <w:sz w:val="24"/>
          <w:szCs w:val="24"/>
          <w:lang w:val="it-IT" w:eastAsia="en-US"/>
        </w:rPr>
      </w:pPr>
    </w:p>
    <w:p w14:paraId="6D03EB5B" w14:textId="77777777" w:rsidR="007D563A" w:rsidRPr="007D563A" w:rsidRDefault="007D563A" w:rsidP="007D563A">
      <w:pPr>
        <w:spacing w:after="0" w:line="240" w:lineRule="auto"/>
        <w:jc w:val="both"/>
        <w:rPr>
          <w:rFonts w:ascii="Garamond" w:eastAsiaTheme="minorHAnsi" w:hAnsi="Garamond" w:cs="Arial"/>
          <w:sz w:val="20"/>
          <w:szCs w:val="24"/>
          <w:lang w:val="it-IT" w:eastAsia="en-US"/>
        </w:rPr>
      </w:pPr>
    </w:p>
    <w:p w14:paraId="4A68E7BC" w14:textId="77777777" w:rsidR="007D563A" w:rsidRPr="007D563A" w:rsidRDefault="007D563A" w:rsidP="007D563A">
      <w:pPr>
        <w:spacing w:after="0" w:line="240" w:lineRule="auto"/>
        <w:jc w:val="center"/>
        <w:rPr>
          <w:rFonts w:ascii="Garamond" w:eastAsiaTheme="minorHAnsi" w:hAnsi="Garamond" w:cstheme="minorBidi"/>
          <w:bCs/>
          <w:sz w:val="24"/>
          <w:lang w:val="it-IT" w:eastAsia="en-US"/>
        </w:rPr>
      </w:pPr>
      <w:bookmarkStart w:id="7" w:name="_Hlk126837610"/>
      <w:bookmarkEnd w:id="6"/>
      <w:r w:rsidRPr="007D563A">
        <w:rPr>
          <w:rFonts w:ascii="Garamond" w:eastAsiaTheme="minorHAnsi" w:hAnsi="Garamond" w:cs="Arial"/>
          <w:sz w:val="24"/>
          <w:szCs w:val="24"/>
          <w:lang w:val="it-IT" w:eastAsia="en-US"/>
        </w:rPr>
        <w:t>4. DISCUSSION</w:t>
      </w:r>
    </w:p>
    <w:p w14:paraId="358F03DE" w14:textId="77777777" w:rsidR="007D563A" w:rsidRPr="007D563A" w:rsidRDefault="007D563A" w:rsidP="007D563A">
      <w:pPr>
        <w:spacing w:after="0" w:line="240" w:lineRule="auto"/>
        <w:jc w:val="both"/>
        <w:rPr>
          <w:rFonts w:ascii="Garamond" w:eastAsiaTheme="minorHAnsi" w:hAnsi="Garamond" w:cs="Arial"/>
          <w:sz w:val="24"/>
          <w:szCs w:val="24"/>
          <w:lang w:val="it-IT" w:eastAsia="en-US"/>
        </w:rPr>
      </w:pPr>
    </w:p>
    <w:bookmarkEnd w:id="7"/>
    <w:p w14:paraId="4A943D0E"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This scoping review provides a comprehensive and policy-relevant synthesis of recent European research on ageism toward older adults in healthcare and social care contexts. By systematically mapping 55 studies published between 2021 and 2025, the review highlights the multidimensional and multi-level nature of ageism and its consequences, showing how age-based discrimination is not confined to individual attitudes but is embedded in professional practices, organizational arrangements, and structural features of healthcare systems. The analytical framework emerging from the review, distinguishing internalized, interpersonal, institutional, and structural forms of ageism, offers a useful lens for understanding how these dimensions interact and generate cumulative effects on health outcomes, access to care, and professional conduct.</w:t>
      </w:r>
    </w:p>
    <w:p w14:paraId="33F72105"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One important contribution of this review lies in its attention to internalized or self-ageism, which, although addressed by a limited number of studies, emerges as a significant pathway through which broader social and institutional ageism affects older adults’ well-being. The evidence suggests that internalized stereotypes shape self-perceptions of health, frailty, and vulnerability, influencing help-seeking behaviors, engagement with healthcare services, and participation in decision-making. From a policy perspective, these findings point to the need for public health strategies that counter negative societal narratives about ageing and promote more diverse and empowering representations of later life. Interventions aimed at improving older adults’ health literacy and agency should therefore be understood not only as individual-level initiatives but also as components of broader efforts to address ageism as a social determinant of health.</w:t>
      </w:r>
    </w:p>
    <w:p w14:paraId="2ABA9BFA"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At the interpersonal level, the review confirms that ageist attitudes and stereotypes remain widespread among healthcare students and professionals, with tangible implications for clinical communication, care quality, and professional trajectories. A substantial portion of the literature focuses on educational settings, underscoring the formative role of health professions training in shaping representations of ageing and older patients. Notably, many studies highlight implicit and ambivalent forms of ageism, suggesting that discrimination may persist even in contexts where explicit attitudes appear neutral or positive. This has important implications for policy and regulation in health education: curricula should systematically integrate ageing and ageism as cross-cutting themes, emphasizing reflective practice, ethical reasoning, and sustained exposure to older adults in varied care settings. Regulatory bodies and accreditation agencies may play a key role in promoting minimum standards for age-inclusive education across health professions.</w:t>
      </w:r>
    </w:p>
    <w:p w14:paraId="53FE9385"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 xml:space="preserve">Institutional and organizational ageism represents a critical meso-level dimension connecting individual attitudes with system-level outcomes. The reviewed studies show how age-based stereotypes are embedded in organizational cultures, workforce management practices, and service delivery models, particularly in hospital and long-term care contexts. These dynamics affect not only older patients but also healthcare workers, contributing to burnout, reduced job satisfaction, and intentions to leave among staff working with older populations. At the same time, the evidence indicates that organizationally supported training and educational interventions can mitigate ageist attitudes and strengthen professional competencies. From a policy standpoint, this suggests the </w:t>
      </w:r>
      <w:r w:rsidRPr="007D563A">
        <w:rPr>
          <w:rFonts w:ascii="Garamond" w:eastAsiaTheme="minorHAnsi" w:hAnsi="Garamond" w:cs="Arial"/>
          <w:sz w:val="24"/>
          <w:szCs w:val="24"/>
          <w:lang w:val="en-US" w:eastAsia="en-US"/>
        </w:rPr>
        <w:lastRenderedPageBreak/>
        <w:t>importance of embedding age-inclusivity into organizational governance, quality assurance frameworks, and workforce strategies, rather than treating ageism solely as an individual ethical issue.</w:t>
      </w:r>
    </w:p>
    <w:p w14:paraId="686E3D04"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Structural and systemic ageism emerges as the most extensively documented level in the reviewed literature, reflecting growing concern about age-based inequities in healthcare access, resource allocation, and policy responses. The findings illustrate how ageism is institutionalized through healthcare policies, legal frameworks, and crisis management strategies, particularly during the COVID-19 pandemic. Age-based thresholds for diagnostics, preventive services, or intensive treatments exemplify how chronological age is often used as a proxy for vulnerability, efficiency, or social worth, rather than clinical need or individual preference. These practices raise critical ethical and governance issues and underscore the need for policy instruments that explicitly address ageism within health systems. Integrating age-sensitive equity assessments into health policy design and evaluation could represent a concrete step toward reducing structural ageism and ensuring that resource allocation decisions are transparent, proportionate, and justifiable.</w:t>
      </w:r>
    </w:p>
    <w:p w14:paraId="6827AB47"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An emerging and particularly policy-relevant theme concerns digital ageism and technological innovation in healthcare. Several studies highlight the risk that digital health tools, artificial intelligence, and algorithmic decision-making may reproduce or amplify age-based biases if older adults are inadequately represented in design, testing, and implementation processes. Assumptions about limited digital competence among older people can lead to exclusionary service models and reinforce existing inequalities. These findings point to the need for regulatory and governance frameworks that explicitly consider age-related bias in digital health technologies, as well as for participatory approaches that involve older adults in co-design and evaluation. Addressing digital ageism is especially urgent given the rapid expansion of digital healthcare and its growing role in shaping access, quality, and continuity of care.</w:t>
      </w:r>
    </w:p>
    <w:p w14:paraId="54E2A10D"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From a methodological perspective, the predominance of quantitative and cross-sectional designs highlights the need for more longitudinal, mixed-methods, and intervention-based research capable of capturing how ageism evolves over time and across institutional contexts. Greater conceptual and measurement consistency would also strengthen the evidence base and support more effective policy translation. While this review deliberately focused on the European context, the structural mechanisms identified are likely to operate across different welfare regimes, suggesting the value of comparative and transnational research to inform policy learning.</w:t>
      </w:r>
    </w:p>
    <w:p w14:paraId="15495CE5"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Several limitations should be acknowledged. The restriction to English-language publications and to two major databases may have led to the exclusion of relevant studies, and, consistent with scoping review methodology, no formal quality appraisal was conducted. Moreover, the heterogeneity of ageism conceptualizations and outcome measures limits direct comparability across studies. Nevertheless, the review provides a robust and timely synthesis of a rapidly expanding field, offering a policy-relevant framework for understanding how ageism shapes healthcare systems and outcomes.</w:t>
      </w:r>
    </w:p>
    <w:p w14:paraId="3A7D899E"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Overall, the findings indicate that tackling ageism in healthcare requires coordinated, multi-level policy action. Interventions focused solely on individual attitudes are unlikely to produce sustainable change if organizational routines and structural incentives remain unaltered. Conversely, system-level reforms that overlook everyday clinical interactions risk remaining symbolic. An integrated approach, linking education, organizational governance, health system design, and regulatory oversight, is therefore essential to promote equitable, age-inclusive, and person-centered healthcare systems in ageing societies.</w:t>
      </w:r>
    </w:p>
    <w:p w14:paraId="7D1556B9" w14:textId="77777777" w:rsidR="007D563A" w:rsidRPr="007D563A" w:rsidRDefault="007D563A" w:rsidP="007D563A">
      <w:pPr>
        <w:spacing w:after="0" w:line="240" w:lineRule="auto"/>
        <w:jc w:val="both"/>
        <w:rPr>
          <w:rFonts w:ascii="Garamond" w:eastAsiaTheme="minorHAnsi" w:hAnsi="Garamond" w:cs="NewBaskerville-Roman"/>
          <w:color w:val="000000" w:themeColor="text1"/>
          <w:sz w:val="24"/>
          <w:szCs w:val="21"/>
          <w:lang w:val="en-US" w:eastAsia="en-US"/>
        </w:rPr>
      </w:pPr>
    </w:p>
    <w:p w14:paraId="36ACFFBA" w14:textId="77777777" w:rsidR="007D563A" w:rsidRPr="007D563A" w:rsidRDefault="007D563A" w:rsidP="007D563A">
      <w:pPr>
        <w:spacing w:after="0" w:line="240" w:lineRule="auto"/>
        <w:jc w:val="both"/>
        <w:rPr>
          <w:rFonts w:ascii="Garamond" w:eastAsiaTheme="minorHAnsi" w:hAnsi="Garamond" w:cs="NewBaskerville-Roman"/>
          <w:color w:val="000000" w:themeColor="text1"/>
          <w:sz w:val="24"/>
          <w:szCs w:val="21"/>
          <w:lang w:val="en-US" w:eastAsia="en-US"/>
        </w:rPr>
      </w:pPr>
    </w:p>
    <w:p w14:paraId="25DB5A9D" w14:textId="77777777" w:rsidR="007D563A" w:rsidRPr="007D563A" w:rsidRDefault="007D563A" w:rsidP="007D563A">
      <w:pPr>
        <w:spacing w:after="0" w:line="240" w:lineRule="auto"/>
        <w:jc w:val="center"/>
        <w:rPr>
          <w:rFonts w:ascii="Garamond" w:eastAsiaTheme="minorHAnsi" w:hAnsi="Garamond" w:cstheme="minorBidi"/>
          <w:bCs/>
          <w:sz w:val="24"/>
          <w:lang w:val="en-US" w:eastAsia="en-US"/>
        </w:rPr>
      </w:pPr>
      <w:r w:rsidRPr="007D563A">
        <w:rPr>
          <w:rFonts w:ascii="Garamond" w:eastAsiaTheme="minorHAnsi" w:hAnsi="Garamond" w:cs="Arial"/>
          <w:sz w:val="24"/>
          <w:szCs w:val="24"/>
          <w:lang w:val="en-US" w:eastAsia="en-US"/>
        </w:rPr>
        <w:t>5. CONCLUSION</w:t>
      </w:r>
    </w:p>
    <w:p w14:paraId="6B2FFCEB" w14:textId="77777777" w:rsidR="007D563A" w:rsidRPr="007D563A" w:rsidRDefault="007D563A" w:rsidP="007D563A">
      <w:pPr>
        <w:spacing w:after="0" w:line="240" w:lineRule="auto"/>
        <w:jc w:val="both"/>
        <w:rPr>
          <w:rFonts w:ascii="Garamond" w:eastAsiaTheme="minorHAnsi" w:hAnsi="Garamond" w:cs="Arial"/>
          <w:sz w:val="24"/>
          <w:szCs w:val="24"/>
          <w:lang w:val="en-US" w:eastAsia="en-US"/>
        </w:rPr>
      </w:pPr>
    </w:p>
    <w:p w14:paraId="2B06B2F1"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lastRenderedPageBreak/>
        <w:t>This scoping review highlights ageism as a pervasive and structurally embedded phenomenon in healthcare and social care systems, with far-reaching implications for older adults’ health, well-being, and social inclusion. By synthesizing recent European evidence, the study demonstrates that ageism operates across interconnected levels, from internalized beliefs to systemic policies, producing cumulative and mutually reinforcing effects. Addressing ageism, therefore, requires moving beyond isolated interventions toward integrated, multi-level strategies that simultaneously target individual attitudes, professional practices, organizational cultures, and policy frameworks.</w:t>
      </w:r>
    </w:p>
    <w:p w14:paraId="3B0B8CDC"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The findings underscore the importance of early and continuous education on ageing and ageism within health professions training, as well as the need for organizational commitment to age-inclusive practices in workforce management and service delivery. At the policy level, greater attention is needed to ensure that healthcare systems do not rely on chronological age as a proxy for vulnerability or value, particularly in contexts of resource scarcity and technological innovation. Finally, the emerging evidence on digital ageism calls for inclusive design, ethical oversight, and regulatory safeguards to prevent the reproduction of age-based inequalities in digital health.</w:t>
      </w:r>
    </w:p>
    <w:p w14:paraId="4527AE6F" w14:textId="77777777" w:rsidR="007D563A" w:rsidRPr="007D563A" w:rsidRDefault="007D563A" w:rsidP="007D563A">
      <w:pPr>
        <w:spacing w:after="0" w:line="240" w:lineRule="auto"/>
        <w:ind w:firstLine="284"/>
        <w:jc w:val="both"/>
        <w:rPr>
          <w:rFonts w:ascii="Garamond" w:eastAsiaTheme="minorHAnsi" w:hAnsi="Garamond" w:cs="Arial"/>
          <w:sz w:val="24"/>
          <w:szCs w:val="24"/>
          <w:lang w:val="en-US" w:eastAsia="en-US"/>
        </w:rPr>
      </w:pPr>
      <w:r w:rsidRPr="007D563A">
        <w:rPr>
          <w:rFonts w:ascii="Garamond" w:eastAsiaTheme="minorHAnsi" w:hAnsi="Garamond" w:cs="Arial"/>
          <w:sz w:val="24"/>
          <w:szCs w:val="24"/>
          <w:lang w:val="en-US" w:eastAsia="en-US"/>
        </w:rPr>
        <w:t>Overall, this review contributes to consolidating ageism as a key social determinant of health and provides a conceptual and empirical basis for future research and action aimed at promoting equity, dignity, and justice across the life-course and within increasingly complex and digitalized health systems</w:t>
      </w:r>
    </w:p>
    <w:p w14:paraId="1E5BC25A" w14:textId="77777777" w:rsidR="007D563A" w:rsidRPr="007D563A" w:rsidRDefault="007D563A" w:rsidP="007D563A">
      <w:pPr>
        <w:rPr>
          <w:rFonts w:ascii="Garamond" w:eastAsiaTheme="minorHAnsi" w:hAnsi="Garamond" w:cstheme="minorBidi"/>
          <w:caps/>
          <w:sz w:val="24"/>
          <w:szCs w:val="24"/>
          <w:lang w:val="en-US" w:eastAsia="en-US"/>
        </w:rPr>
      </w:pPr>
    </w:p>
    <w:p w14:paraId="6DFE6DB1" w14:textId="77777777" w:rsidR="007D563A" w:rsidRPr="007D563A" w:rsidRDefault="007D563A" w:rsidP="007D563A">
      <w:pPr>
        <w:spacing w:after="0" w:line="240" w:lineRule="auto"/>
        <w:jc w:val="center"/>
        <w:rPr>
          <w:rFonts w:ascii="Garamond" w:eastAsiaTheme="minorHAnsi" w:hAnsi="Garamond" w:cstheme="minorBidi"/>
          <w:caps/>
          <w:sz w:val="24"/>
          <w:szCs w:val="24"/>
          <w:lang w:val="en-US" w:eastAsia="en-US"/>
        </w:rPr>
      </w:pPr>
      <w:r w:rsidRPr="007D563A">
        <w:rPr>
          <w:rFonts w:ascii="Garamond" w:eastAsiaTheme="minorHAnsi" w:hAnsi="Garamond" w:cstheme="minorBidi"/>
          <w:caps/>
          <w:sz w:val="24"/>
          <w:szCs w:val="24"/>
          <w:lang w:val="en-US" w:eastAsia="en-US"/>
        </w:rPr>
        <w:t>REFERENCES</w:t>
      </w:r>
    </w:p>
    <w:p w14:paraId="54C301FB"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
    <w:p w14:paraId="582FDC90"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Allué</w:t>
      </w:r>
      <w:proofErr w:type="spellEnd"/>
      <w:r w:rsidRPr="007D563A">
        <w:rPr>
          <w:rFonts w:ascii="Garamond" w:eastAsiaTheme="minorHAnsi" w:hAnsi="Garamond" w:cstheme="minorBidi"/>
          <w:sz w:val="24"/>
          <w:szCs w:val="24"/>
          <w:lang w:val="en-US" w:eastAsia="en-US"/>
        </w:rPr>
        <w:t xml:space="preserve">-Sierra, L., Antón-Solanas, I., Rodríguez-Roca, B., </w:t>
      </w:r>
      <w:proofErr w:type="spellStart"/>
      <w:r w:rsidRPr="007D563A">
        <w:rPr>
          <w:rFonts w:ascii="Garamond" w:eastAsiaTheme="minorHAnsi" w:hAnsi="Garamond" w:cstheme="minorBidi"/>
          <w:sz w:val="24"/>
          <w:szCs w:val="24"/>
          <w:lang w:val="en-US" w:eastAsia="en-US"/>
        </w:rPr>
        <w:t>Anguas</w:t>
      </w:r>
      <w:proofErr w:type="spellEnd"/>
      <w:r w:rsidRPr="007D563A">
        <w:rPr>
          <w:rFonts w:ascii="Garamond" w:eastAsiaTheme="minorHAnsi" w:hAnsi="Garamond" w:cstheme="minorBidi"/>
          <w:sz w:val="24"/>
          <w:szCs w:val="24"/>
          <w:lang w:val="en-US" w:eastAsia="en-US"/>
        </w:rPr>
        <w:t xml:space="preserve">-Gracia, A., </w:t>
      </w:r>
      <w:proofErr w:type="spellStart"/>
      <w:r w:rsidRPr="007D563A">
        <w:rPr>
          <w:rFonts w:ascii="Garamond" w:eastAsiaTheme="minorHAnsi" w:hAnsi="Garamond" w:cstheme="minorBidi"/>
          <w:sz w:val="24"/>
          <w:szCs w:val="24"/>
          <w:lang w:val="en-US" w:eastAsia="en-US"/>
        </w:rPr>
        <w:t>Echániz</w:t>
      </w:r>
      <w:proofErr w:type="spellEnd"/>
      <w:r w:rsidRPr="007D563A">
        <w:rPr>
          <w:rFonts w:ascii="Garamond" w:eastAsiaTheme="minorHAnsi" w:hAnsi="Garamond" w:cstheme="minorBidi"/>
          <w:sz w:val="24"/>
          <w:szCs w:val="24"/>
          <w:lang w:val="en-US" w:eastAsia="en-US"/>
        </w:rPr>
        <w:t xml:space="preserve">-Serrano, E., Fernández-Rodrigo, M. T., ... &amp; </w:t>
      </w:r>
      <w:proofErr w:type="spellStart"/>
      <w:r w:rsidRPr="007D563A">
        <w:rPr>
          <w:rFonts w:ascii="Garamond" w:eastAsiaTheme="minorHAnsi" w:hAnsi="Garamond" w:cstheme="minorBidi"/>
          <w:sz w:val="24"/>
          <w:szCs w:val="24"/>
          <w:lang w:val="en-US" w:eastAsia="en-US"/>
        </w:rPr>
        <w:t>Satústegui-Dordá</w:t>
      </w:r>
      <w:proofErr w:type="spellEnd"/>
      <w:r w:rsidRPr="007D563A">
        <w:rPr>
          <w:rFonts w:ascii="Garamond" w:eastAsiaTheme="minorHAnsi" w:hAnsi="Garamond" w:cstheme="minorBidi"/>
          <w:sz w:val="24"/>
          <w:szCs w:val="24"/>
          <w:lang w:val="en-US" w:eastAsia="en-US"/>
        </w:rPr>
        <w:t xml:space="preserve">, P. J. (2023). Ageism and nursing students, past or </w:t>
      </w:r>
      <w:proofErr w:type="gramStart"/>
      <w:r w:rsidRPr="007D563A">
        <w:rPr>
          <w:rFonts w:ascii="Garamond" w:eastAsiaTheme="minorHAnsi" w:hAnsi="Garamond" w:cstheme="minorBidi"/>
          <w:sz w:val="24"/>
          <w:szCs w:val="24"/>
          <w:lang w:val="en-US" w:eastAsia="en-US"/>
        </w:rPr>
        <w:t>reality?:</w:t>
      </w:r>
      <w:proofErr w:type="gramEnd"/>
      <w:r w:rsidRPr="007D563A">
        <w:rPr>
          <w:rFonts w:ascii="Garamond" w:eastAsiaTheme="minorHAnsi" w:hAnsi="Garamond" w:cstheme="minorBidi"/>
          <w:sz w:val="24"/>
          <w:szCs w:val="24"/>
          <w:lang w:val="en-US" w:eastAsia="en-US"/>
        </w:rPr>
        <w:t xml:space="preserve"> A systematic review. </w:t>
      </w:r>
      <w:r w:rsidRPr="007D563A">
        <w:rPr>
          <w:rFonts w:ascii="Garamond" w:eastAsiaTheme="minorHAnsi" w:hAnsi="Garamond" w:cstheme="minorBidi"/>
          <w:i/>
          <w:iCs/>
          <w:sz w:val="24"/>
          <w:szCs w:val="24"/>
          <w:lang w:val="en-US" w:eastAsia="en-US"/>
        </w:rPr>
        <w:t>Nurse Education Today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122</w:t>
      </w:r>
      <w:r w:rsidRPr="007D563A">
        <w:rPr>
          <w:rFonts w:ascii="Garamond" w:eastAsiaTheme="minorHAnsi" w:hAnsi="Garamond" w:cstheme="minorBidi"/>
          <w:sz w:val="24"/>
          <w:szCs w:val="24"/>
          <w:lang w:val="en-US" w:eastAsia="en-US"/>
        </w:rPr>
        <w:t>, 105739.</w:t>
      </w:r>
    </w:p>
    <w:p w14:paraId="3F2D6D1C"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Ayalon, L., &amp; Tesch-Römer, C. (2018). </w:t>
      </w:r>
      <w:r w:rsidRPr="007D563A">
        <w:rPr>
          <w:rFonts w:ascii="Garamond" w:eastAsiaTheme="minorHAnsi" w:hAnsi="Garamond" w:cstheme="minorBidi"/>
          <w:i/>
          <w:iCs/>
          <w:sz w:val="24"/>
          <w:szCs w:val="24"/>
          <w:lang w:val="en-US" w:eastAsia="en-US"/>
        </w:rPr>
        <w:t>Contemporary perspectives on ageism</w:t>
      </w:r>
      <w:r w:rsidRPr="007D563A">
        <w:rPr>
          <w:rFonts w:ascii="Garamond" w:eastAsiaTheme="minorHAnsi" w:hAnsi="Garamond" w:cstheme="minorBidi"/>
          <w:sz w:val="24"/>
          <w:szCs w:val="24"/>
          <w:lang w:val="en-US" w:eastAsia="en-US"/>
        </w:rPr>
        <w:t>. Springer. https://doi.org/10.1007/978-3-319-73820-8</w:t>
      </w:r>
    </w:p>
    <w:p w14:paraId="4CBF9B1F"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Ayalon, L., Chasteen, A., Diehl, M., Becca, R. L., Shevaun, D. N., Rothermund, K., Tesch-Römer, C., &amp; Hans-Werner, W. (2021). Aging in times of the COVID-19 pandemic: Avoiding ageism and fostering intergenerational solidarity. </w:t>
      </w:r>
      <w:r w:rsidRPr="007D563A">
        <w:rPr>
          <w:rFonts w:ascii="Garamond" w:eastAsiaTheme="minorHAnsi" w:hAnsi="Garamond" w:cstheme="minorBidi"/>
          <w:i/>
          <w:iCs/>
          <w:sz w:val="24"/>
          <w:szCs w:val="24"/>
          <w:lang w:val="en-US" w:eastAsia="en-US"/>
        </w:rPr>
        <w:t>The Journals of Gerontology: Series B, 76</w:t>
      </w:r>
      <w:r w:rsidRPr="007D563A">
        <w:rPr>
          <w:rFonts w:ascii="Garamond" w:eastAsiaTheme="minorHAnsi" w:hAnsi="Garamond" w:cstheme="minorBidi"/>
          <w:sz w:val="24"/>
          <w:szCs w:val="24"/>
          <w:lang w:val="en-US" w:eastAsia="en-US"/>
        </w:rPr>
        <w:t>(2), 49–52. https://doi.org/10.1093/geronb/gbaa051</w:t>
      </w:r>
    </w:p>
    <w:p w14:paraId="6DAEC6D5"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Aytulun</w:t>
      </w:r>
      <w:proofErr w:type="spellEnd"/>
      <w:r w:rsidRPr="007D563A">
        <w:rPr>
          <w:rFonts w:ascii="Garamond" w:eastAsiaTheme="minorHAnsi" w:hAnsi="Garamond" w:cstheme="minorBidi"/>
          <w:sz w:val="24"/>
          <w:szCs w:val="24"/>
          <w:lang w:val="en-US" w:eastAsia="en-US"/>
        </w:rPr>
        <w:t xml:space="preserve">, A. &amp; Erden Aki Ö.S. (2022). Relationship Between Perceived Ageism, Autonomy, And Symptoms </w:t>
      </w:r>
      <w:proofErr w:type="gramStart"/>
      <w:r w:rsidRPr="007D563A">
        <w:rPr>
          <w:rFonts w:ascii="Garamond" w:eastAsiaTheme="minorHAnsi" w:hAnsi="Garamond" w:cstheme="minorBidi"/>
          <w:sz w:val="24"/>
          <w:szCs w:val="24"/>
          <w:lang w:val="en-US" w:eastAsia="en-US"/>
        </w:rPr>
        <w:t>Of</w:t>
      </w:r>
      <w:proofErr w:type="gramEnd"/>
      <w:r w:rsidRPr="007D563A">
        <w:rPr>
          <w:rFonts w:ascii="Garamond" w:eastAsiaTheme="minorHAnsi" w:hAnsi="Garamond" w:cstheme="minorBidi"/>
          <w:sz w:val="24"/>
          <w:szCs w:val="24"/>
          <w:lang w:val="en-US" w:eastAsia="en-US"/>
        </w:rPr>
        <w:t xml:space="preserve"> Depression </w:t>
      </w:r>
      <w:proofErr w:type="gramStart"/>
      <w:r w:rsidRPr="007D563A">
        <w:rPr>
          <w:rFonts w:ascii="Garamond" w:eastAsiaTheme="minorHAnsi" w:hAnsi="Garamond" w:cstheme="minorBidi"/>
          <w:sz w:val="24"/>
          <w:szCs w:val="24"/>
          <w:lang w:val="en-US" w:eastAsia="en-US"/>
        </w:rPr>
        <w:t>And</w:t>
      </w:r>
      <w:proofErr w:type="gramEnd"/>
      <w:r w:rsidRPr="007D563A">
        <w:rPr>
          <w:rFonts w:ascii="Garamond" w:eastAsiaTheme="minorHAnsi" w:hAnsi="Garamond" w:cstheme="minorBidi"/>
          <w:sz w:val="24"/>
          <w:szCs w:val="24"/>
          <w:lang w:val="en-US" w:eastAsia="en-US"/>
        </w:rPr>
        <w:t xml:space="preserve"> Anxiety During The COVID-19 Curfew </w:t>
      </w:r>
      <w:proofErr w:type="gramStart"/>
      <w:r w:rsidRPr="007D563A">
        <w:rPr>
          <w:rFonts w:ascii="Garamond" w:eastAsiaTheme="minorHAnsi" w:hAnsi="Garamond" w:cstheme="minorBidi"/>
          <w:sz w:val="24"/>
          <w:szCs w:val="24"/>
          <w:lang w:val="en-US" w:eastAsia="en-US"/>
        </w:rPr>
        <w:t>In</w:t>
      </w:r>
      <w:proofErr w:type="gramEnd"/>
      <w:r w:rsidRPr="007D563A">
        <w:rPr>
          <w:rFonts w:ascii="Garamond" w:eastAsiaTheme="minorHAnsi" w:hAnsi="Garamond" w:cstheme="minorBidi"/>
          <w:sz w:val="24"/>
          <w:szCs w:val="24"/>
          <w:lang w:val="en-US" w:eastAsia="en-US"/>
        </w:rPr>
        <w:t xml:space="preserve"> Old Age Psychiatric Patients. </w:t>
      </w:r>
      <w:r w:rsidRPr="007D563A">
        <w:rPr>
          <w:rFonts w:ascii="Garamond" w:eastAsiaTheme="minorHAnsi" w:hAnsi="Garamond" w:cstheme="minorBidi"/>
          <w:i/>
          <w:iCs/>
          <w:sz w:val="24"/>
          <w:szCs w:val="24"/>
          <w:lang w:val="en-US" w:eastAsia="en-US"/>
        </w:rPr>
        <w:t xml:space="preserve">Turkish Journal </w:t>
      </w:r>
      <w:proofErr w:type="gramStart"/>
      <w:r w:rsidRPr="007D563A">
        <w:rPr>
          <w:rFonts w:ascii="Garamond" w:eastAsiaTheme="minorHAnsi" w:hAnsi="Garamond" w:cstheme="minorBidi"/>
          <w:i/>
          <w:iCs/>
          <w:sz w:val="24"/>
          <w:szCs w:val="24"/>
          <w:lang w:val="en-US" w:eastAsia="en-US"/>
        </w:rPr>
        <w:t>Of</w:t>
      </w:r>
      <w:proofErr w:type="gramEnd"/>
      <w:r w:rsidRPr="007D563A">
        <w:rPr>
          <w:rFonts w:ascii="Garamond" w:eastAsiaTheme="minorHAnsi" w:hAnsi="Garamond" w:cstheme="minorBidi"/>
          <w:i/>
          <w:iCs/>
          <w:sz w:val="24"/>
          <w:szCs w:val="24"/>
          <w:lang w:val="en-US" w:eastAsia="en-US"/>
        </w:rPr>
        <w:t xml:space="preserve"> Geriatrics/Türk </w:t>
      </w:r>
      <w:proofErr w:type="spellStart"/>
      <w:r w:rsidRPr="007D563A">
        <w:rPr>
          <w:rFonts w:ascii="Garamond" w:eastAsiaTheme="minorHAnsi" w:hAnsi="Garamond" w:cstheme="minorBidi"/>
          <w:i/>
          <w:iCs/>
          <w:sz w:val="24"/>
          <w:szCs w:val="24"/>
          <w:lang w:val="en-US" w:eastAsia="en-US"/>
        </w:rPr>
        <w:t>Geriatri</w:t>
      </w:r>
      <w:proofErr w:type="spellEnd"/>
      <w:r w:rsidRPr="007D563A">
        <w:rPr>
          <w:rFonts w:ascii="Garamond" w:eastAsiaTheme="minorHAnsi" w:hAnsi="Garamond" w:cstheme="minorBidi"/>
          <w:i/>
          <w:iCs/>
          <w:sz w:val="24"/>
          <w:szCs w:val="24"/>
          <w:lang w:val="en-US" w:eastAsia="en-US"/>
        </w:rPr>
        <w:t xml:space="preserve"> </w:t>
      </w:r>
      <w:proofErr w:type="spellStart"/>
      <w:r w:rsidRPr="007D563A">
        <w:rPr>
          <w:rFonts w:ascii="Garamond" w:eastAsiaTheme="minorHAnsi" w:hAnsi="Garamond" w:cstheme="minorBidi"/>
          <w:i/>
          <w:iCs/>
          <w:sz w:val="24"/>
          <w:szCs w:val="24"/>
          <w:lang w:val="en-US" w:eastAsia="en-US"/>
        </w:rPr>
        <w:t>Dergisi</w:t>
      </w:r>
      <w:proofErr w:type="spellEnd"/>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25</w:t>
      </w:r>
      <w:r w:rsidRPr="007D563A">
        <w:rPr>
          <w:rFonts w:ascii="Garamond" w:eastAsiaTheme="minorHAnsi" w:hAnsi="Garamond" w:cstheme="minorBidi"/>
          <w:sz w:val="24"/>
          <w:szCs w:val="24"/>
          <w:lang w:val="en-US" w:eastAsia="en-US"/>
        </w:rPr>
        <w:t>(3).</w:t>
      </w:r>
    </w:p>
    <w:p w14:paraId="650EB9A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Başer, G., &amp; Hisar, F. (2024). Effect of interventions for health care students to develop positive attitude toward the elderly: A meta</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analysis study. </w:t>
      </w:r>
      <w:r w:rsidRPr="007D563A">
        <w:rPr>
          <w:rFonts w:ascii="Garamond" w:eastAsiaTheme="minorHAnsi" w:hAnsi="Garamond" w:cstheme="minorBidi"/>
          <w:i/>
          <w:iCs/>
          <w:sz w:val="24"/>
          <w:szCs w:val="24"/>
          <w:lang w:val="en-US" w:eastAsia="en-US"/>
        </w:rPr>
        <w:t>Geriatrics &amp; Gerontology International</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24</w:t>
      </w:r>
      <w:r w:rsidRPr="007D563A">
        <w:rPr>
          <w:rFonts w:ascii="Garamond" w:eastAsiaTheme="minorHAnsi" w:hAnsi="Garamond" w:cstheme="minorBidi"/>
          <w:sz w:val="24"/>
          <w:szCs w:val="24"/>
          <w:lang w:val="en-US" w:eastAsia="en-US"/>
        </w:rPr>
        <w:t>(12), 1370-1379.</w:t>
      </w:r>
    </w:p>
    <w:p w14:paraId="00F571F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Bellanova, M., </w:t>
      </w:r>
      <w:proofErr w:type="spellStart"/>
      <w:r w:rsidRPr="007D563A">
        <w:rPr>
          <w:rFonts w:ascii="Garamond" w:eastAsiaTheme="minorHAnsi" w:hAnsi="Garamond" w:cstheme="minorBidi"/>
          <w:sz w:val="24"/>
          <w:szCs w:val="24"/>
          <w:lang w:val="en-US" w:eastAsia="en-US"/>
        </w:rPr>
        <w:t>Romaioli</w:t>
      </w:r>
      <w:proofErr w:type="spellEnd"/>
      <w:r w:rsidRPr="007D563A">
        <w:rPr>
          <w:rFonts w:ascii="Garamond" w:eastAsiaTheme="minorHAnsi" w:hAnsi="Garamond" w:cstheme="minorBidi"/>
          <w:sz w:val="24"/>
          <w:szCs w:val="24"/>
          <w:lang w:val="en-US" w:eastAsia="en-US"/>
        </w:rPr>
        <w:t xml:space="preserve">, D., &amp; </w:t>
      </w:r>
      <w:proofErr w:type="spellStart"/>
      <w:r w:rsidRPr="007D563A">
        <w:rPr>
          <w:rFonts w:ascii="Garamond" w:eastAsiaTheme="minorHAnsi" w:hAnsi="Garamond" w:cstheme="minorBidi"/>
          <w:sz w:val="24"/>
          <w:szCs w:val="24"/>
          <w:lang w:val="en-US" w:eastAsia="en-US"/>
        </w:rPr>
        <w:t>Contarello</w:t>
      </w:r>
      <w:proofErr w:type="spellEnd"/>
      <w:r w:rsidRPr="007D563A">
        <w:rPr>
          <w:rFonts w:ascii="Garamond" w:eastAsiaTheme="minorHAnsi" w:hAnsi="Garamond" w:cstheme="minorBidi"/>
          <w:sz w:val="24"/>
          <w:szCs w:val="24"/>
          <w:lang w:val="en-US" w:eastAsia="en-US"/>
        </w:rPr>
        <w:t>, A. (2024). Stemming the “ageism pandemic”: A qualitative inquiry with older adults in residential care facilities during the COVID-19 outbreak. </w:t>
      </w:r>
      <w:r w:rsidRPr="007D563A">
        <w:rPr>
          <w:rFonts w:ascii="Garamond" w:eastAsiaTheme="minorHAnsi" w:hAnsi="Garamond" w:cstheme="minorBidi"/>
          <w:i/>
          <w:iCs/>
          <w:sz w:val="24"/>
          <w:szCs w:val="24"/>
          <w:lang w:val="en-US" w:eastAsia="en-US"/>
        </w:rPr>
        <w:t>Journal of Health Psychology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29</w:t>
      </w:r>
      <w:r w:rsidRPr="007D563A">
        <w:rPr>
          <w:rFonts w:ascii="Garamond" w:eastAsiaTheme="minorHAnsi" w:hAnsi="Garamond" w:cstheme="minorBidi"/>
          <w:sz w:val="24"/>
          <w:szCs w:val="24"/>
          <w:lang w:val="en-US" w:eastAsia="en-US"/>
        </w:rPr>
        <w:t>(4), 332-346.</w:t>
      </w:r>
    </w:p>
    <w:p w14:paraId="63220E4F"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Bortolotti, L. (2025). </w:t>
      </w:r>
      <w:r w:rsidRPr="007D563A">
        <w:rPr>
          <w:rFonts w:ascii="Garamond" w:eastAsiaTheme="minorHAnsi" w:hAnsi="Garamond" w:cstheme="minorBidi"/>
          <w:i/>
          <w:iCs/>
          <w:sz w:val="24"/>
          <w:szCs w:val="24"/>
          <w:lang w:val="en-US" w:eastAsia="en-US"/>
        </w:rPr>
        <w:t xml:space="preserve">Epistemic Justice in Mental Healthcare: </w:t>
      </w:r>
      <w:proofErr w:type="spellStart"/>
      <w:r w:rsidRPr="007D563A">
        <w:rPr>
          <w:rFonts w:ascii="Garamond" w:eastAsiaTheme="minorHAnsi" w:hAnsi="Garamond" w:cstheme="minorBidi"/>
          <w:i/>
          <w:iCs/>
          <w:sz w:val="24"/>
          <w:szCs w:val="24"/>
          <w:lang w:val="en-US" w:eastAsia="en-US"/>
        </w:rPr>
        <w:t>Recognising</w:t>
      </w:r>
      <w:proofErr w:type="spellEnd"/>
      <w:r w:rsidRPr="007D563A">
        <w:rPr>
          <w:rFonts w:ascii="Garamond" w:eastAsiaTheme="minorHAnsi" w:hAnsi="Garamond" w:cstheme="minorBidi"/>
          <w:i/>
          <w:iCs/>
          <w:sz w:val="24"/>
          <w:szCs w:val="24"/>
          <w:lang w:val="en-US" w:eastAsia="en-US"/>
        </w:rPr>
        <w:t xml:space="preserve"> Agency and Promoting Virtues Across the Life Span</w:t>
      </w:r>
      <w:r w:rsidRPr="007D563A">
        <w:rPr>
          <w:rFonts w:ascii="Garamond" w:eastAsiaTheme="minorHAnsi" w:hAnsi="Garamond" w:cstheme="minorBidi"/>
          <w:sz w:val="24"/>
          <w:szCs w:val="24"/>
          <w:lang w:val="en-US" w:eastAsia="en-US"/>
        </w:rPr>
        <w:t>. Springer Nature.</w:t>
      </w:r>
    </w:p>
    <w:p w14:paraId="2C8BD706"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Bouwmeester </w:t>
      </w:r>
      <w:proofErr w:type="spellStart"/>
      <w:r w:rsidRPr="007D563A">
        <w:rPr>
          <w:rFonts w:ascii="Garamond" w:eastAsiaTheme="minorHAnsi" w:hAnsi="Garamond" w:cstheme="minorBidi"/>
          <w:sz w:val="24"/>
          <w:szCs w:val="24"/>
          <w:lang w:val="en-US" w:eastAsia="en-US"/>
        </w:rPr>
        <w:t>Stjernetun</w:t>
      </w:r>
      <w:proofErr w:type="spellEnd"/>
      <w:r w:rsidRPr="007D563A">
        <w:rPr>
          <w:rFonts w:ascii="Garamond" w:eastAsiaTheme="minorHAnsi" w:hAnsi="Garamond" w:cstheme="minorBidi"/>
          <w:sz w:val="24"/>
          <w:szCs w:val="24"/>
          <w:lang w:val="en-US" w:eastAsia="en-US"/>
        </w:rPr>
        <w:t xml:space="preserve">, B., </w:t>
      </w:r>
      <w:proofErr w:type="spellStart"/>
      <w:r w:rsidRPr="007D563A">
        <w:rPr>
          <w:rFonts w:ascii="Garamond" w:eastAsiaTheme="minorHAnsi" w:hAnsi="Garamond" w:cstheme="minorBidi"/>
          <w:sz w:val="24"/>
          <w:szCs w:val="24"/>
          <w:lang w:val="en-US" w:eastAsia="en-US"/>
        </w:rPr>
        <w:t>Gillsjö</w:t>
      </w:r>
      <w:proofErr w:type="spellEnd"/>
      <w:r w:rsidRPr="007D563A">
        <w:rPr>
          <w:rFonts w:ascii="Garamond" w:eastAsiaTheme="minorHAnsi" w:hAnsi="Garamond" w:cstheme="minorBidi"/>
          <w:sz w:val="24"/>
          <w:szCs w:val="24"/>
          <w:lang w:val="en-US" w:eastAsia="en-US"/>
        </w:rPr>
        <w:t xml:space="preserve">, C., </w:t>
      </w:r>
      <w:proofErr w:type="spellStart"/>
      <w:r w:rsidRPr="007D563A">
        <w:rPr>
          <w:rFonts w:ascii="Garamond" w:eastAsiaTheme="minorHAnsi" w:hAnsi="Garamond" w:cstheme="minorBidi"/>
          <w:sz w:val="24"/>
          <w:szCs w:val="24"/>
          <w:lang w:val="en-US" w:eastAsia="en-US"/>
        </w:rPr>
        <w:t>Odzakovic</w:t>
      </w:r>
      <w:proofErr w:type="spellEnd"/>
      <w:r w:rsidRPr="007D563A">
        <w:rPr>
          <w:rFonts w:ascii="Garamond" w:eastAsiaTheme="minorHAnsi" w:hAnsi="Garamond" w:cstheme="minorBidi"/>
          <w:sz w:val="24"/>
          <w:szCs w:val="24"/>
          <w:lang w:val="en-US" w:eastAsia="en-US"/>
        </w:rPr>
        <w:t>, E., &amp; Hallgren, J. (2024a). “It´ s like walking in a bubble”, nursing students´ perspectives on age suit simulation in a home environment–group interviews from reflection seminars. </w:t>
      </w:r>
      <w:r w:rsidRPr="007D563A">
        <w:rPr>
          <w:rFonts w:ascii="Garamond" w:eastAsiaTheme="minorHAnsi" w:hAnsi="Garamond" w:cstheme="minorBidi"/>
          <w:i/>
          <w:iCs/>
          <w:sz w:val="24"/>
          <w:szCs w:val="24"/>
          <w:lang w:val="en-US" w:eastAsia="en-US"/>
        </w:rPr>
        <w:t>BMC nursing</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23</w:t>
      </w:r>
      <w:r w:rsidRPr="007D563A">
        <w:rPr>
          <w:rFonts w:ascii="Garamond" w:eastAsiaTheme="minorHAnsi" w:hAnsi="Garamond" w:cstheme="minorBidi"/>
          <w:sz w:val="24"/>
          <w:szCs w:val="24"/>
          <w:lang w:val="en-US" w:eastAsia="en-US"/>
        </w:rPr>
        <w:t>(1), 124.</w:t>
      </w:r>
    </w:p>
    <w:p w14:paraId="0BC4DCD2"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Bouwmeester </w:t>
      </w:r>
      <w:proofErr w:type="spellStart"/>
      <w:r w:rsidRPr="007D563A">
        <w:rPr>
          <w:rFonts w:ascii="Garamond" w:eastAsiaTheme="minorHAnsi" w:hAnsi="Garamond" w:cstheme="minorBidi"/>
          <w:sz w:val="24"/>
          <w:szCs w:val="24"/>
          <w:lang w:val="en-US" w:eastAsia="en-US"/>
        </w:rPr>
        <w:t>Stjernetun</w:t>
      </w:r>
      <w:proofErr w:type="spellEnd"/>
      <w:r w:rsidRPr="007D563A">
        <w:rPr>
          <w:rFonts w:ascii="Garamond" w:eastAsiaTheme="minorHAnsi" w:hAnsi="Garamond" w:cstheme="minorBidi"/>
          <w:sz w:val="24"/>
          <w:szCs w:val="24"/>
          <w:lang w:val="en-US" w:eastAsia="en-US"/>
        </w:rPr>
        <w:t xml:space="preserve">, B., Hallgren, J., &amp; </w:t>
      </w:r>
      <w:proofErr w:type="spellStart"/>
      <w:r w:rsidRPr="007D563A">
        <w:rPr>
          <w:rFonts w:ascii="Garamond" w:eastAsiaTheme="minorHAnsi" w:hAnsi="Garamond" w:cstheme="minorBidi"/>
          <w:sz w:val="24"/>
          <w:szCs w:val="24"/>
          <w:lang w:val="en-US" w:eastAsia="en-US"/>
        </w:rPr>
        <w:t>Gillsjö</w:t>
      </w:r>
      <w:proofErr w:type="spellEnd"/>
      <w:r w:rsidRPr="007D563A">
        <w:rPr>
          <w:rFonts w:ascii="Garamond" w:eastAsiaTheme="minorHAnsi" w:hAnsi="Garamond" w:cstheme="minorBidi"/>
          <w:sz w:val="24"/>
          <w:szCs w:val="24"/>
          <w:lang w:val="en-US" w:eastAsia="en-US"/>
        </w:rPr>
        <w:t xml:space="preserve">, C. (2024b). Effects of an age suit simulation on nursing students’ perspectives on providing care to older </w:t>
      </w:r>
      <w:proofErr w:type="gramStart"/>
      <w:r w:rsidRPr="007D563A">
        <w:rPr>
          <w:rFonts w:ascii="Garamond" w:eastAsiaTheme="minorHAnsi" w:hAnsi="Garamond" w:cstheme="minorBidi"/>
          <w:sz w:val="24"/>
          <w:szCs w:val="24"/>
          <w:lang w:val="en-US" w:eastAsia="en-US"/>
        </w:rPr>
        <w:t>persons-</w:t>
      </w:r>
      <w:proofErr w:type="gramEnd"/>
      <w:r w:rsidRPr="007D563A">
        <w:rPr>
          <w:rFonts w:ascii="Garamond" w:eastAsiaTheme="minorHAnsi" w:hAnsi="Garamond" w:cstheme="minorBidi"/>
          <w:sz w:val="24"/>
          <w:szCs w:val="24"/>
          <w:lang w:val="en-US" w:eastAsia="en-US"/>
        </w:rPr>
        <w:t>an education intervention study. </w:t>
      </w:r>
      <w:r w:rsidRPr="007D563A">
        <w:rPr>
          <w:rFonts w:ascii="Garamond" w:eastAsiaTheme="minorHAnsi" w:hAnsi="Garamond" w:cstheme="minorBidi"/>
          <w:i/>
          <w:iCs/>
          <w:sz w:val="24"/>
          <w:szCs w:val="24"/>
          <w:lang w:val="en-US" w:eastAsia="en-US"/>
        </w:rPr>
        <w:t>Educational gerontology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50</w:t>
      </w:r>
      <w:r w:rsidRPr="007D563A">
        <w:rPr>
          <w:rFonts w:ascii="Garamond" w:eastAsiaTheme="minorHAnsi" w:hAnsi="Garamond" w:cstheme="minorBidi"/>
          <w:sz w:val="24"/>
          <w:szCs w:val="24"/>
          <w:lang w:val="en-US" w:eastAsia="en-US"/>
        </w:rPr>
        <w:t>(3), 240-253.</w:t>
      </w:r>
    </w:p>
    <w:p w14:paraId="1A581D63"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lastRenderedPageBreak/>
        <w:t xml:space="preserve">Bows, H., Bromley, P., &amp; </w:t>
      </w:r>
      <w:proofErr w:type="spellStart"/>
      <w:r w:rsidRPr="007D563A">
        <w:rPr>
          <w:rFonts w:ascii="Garamond" w:eastAsiaTheme="minorHAnsi" w:hAnsi="Garamond" w:cstheme="minorBidi"/>
          <w:sz w:val="24"/>
          <w:szCs w:val="24"/>
          <w:lang w:val="en-US" w:eastAsia="en-US"/>
        </w:rPr>
        <w:t>Walklate</w:t>
      </w:r>
      <w:proofErr w:type="spellEnd"/>
      <w:r w:rsidRPr="007D563A">
        <w:rPr>
          <w:rFonts w:ascii="Garamond" w:eastAsiaTheme="minorHAnsi" w:hAnsi="Garamond" w:cstheme="minorBidi"/>
          <w:sz w:val="24"/>
          <w:szCs w:val="24"/>
          <w:lang w:val="en-US" w:eastAsia="en-US"/>
        </w:rPr>
        <w:t xml:space="preserve">, S. (2024). Practitioner understandings of older victims of abuse and their perpetrators: not ideal </w:t>
      </w:r>
      <w:proofErr w:type="gramStart"/>
      <w:r w:rsidRPr="007D563A">
        <w:rPr>
          <w:rFonts w:ascii="Garamond" w:eastAsiaTheme="minorHAnsi" w:hAnsi="Garamond" w:cstheme="minorBidi"/>
          <w:sz w:val="24"/>
          <w:szCs w:val="24"/>
          <w:lang w:val="en-US" w:eastAsia="en-US"/>
        </w:rPr>
        <w:t>enough?.</w:t>
      </w:r>
      <w:proofErr w:type="gramEnd"/>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The British Journal of Criminology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64</w:t>
      </w:r>
      <w:r w:rsidRPr="007D563A">
        <w:rPr>
          <w:rFonts w:ascii="Garamond" w:eastAsiaTheme="minorHAnsi" w:hAnsi="Garamond" w:cstheme="minorBidi"/>
          <w:sz w:val="24"/>
          <w:szCs w:val="24"/>
          <w:lang w:val="en-US" w:eastAsia="en-US"/>
        </w:rPr>
        <w:t>(3), 620-637.</w:t>
      </w:r>
    </w:p>
    <w:p w14:paraId="416C222D"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Burnes, D., Sheppard, C., Henderson, C. R., Jr., Wassel, M., Cope, R., Barber, C., &amp; Pillemer, K. (2019). Interventions to reduce ageism against older adults: A systematic review and meta-analysis. </w:t>
      </w:r>
      <w:r w:rsidRPr="007D563A">
        <w:rPr>
          <w:rFonts w:ascii="Garamond" w:eastAsiaTheme="minorHAnsi" w:hAnsi="Garamond" w:cstheme="minorBidi"/>
          <w:i/>
          <w:iCs/>
          <w:sz w:val="24"/>
          <w:szCs w:val="24"/>
          <w:lang w:val="en-US" w:eastAsia="en-US"/>
        </w:rPr>
        <w:t>American Journal of Public Health, 109</w:t>
      </w:r>
      <w:r w:rsidRPr="007D563A">
        <w:rPr>
          <w:rFonts w:ascii="Garamond" w:eastAsiaTheme="minorHAnsi" w:hAnsi="Garamond" w:cstheme="minorBidi"/>
          <w:sz w:val="24"/>
          <w:szCs w:val="24"/>
          <w:lang w:val="en-US" w:eastAsia="en-US"/>
        </w:rPr>
        <w:t>(8), e1–e9. https://doi.org/10.2105/AJPH.2019.305123</w:t>
      </w:r>
    </w:p>
    <w:p w14:paraId="6C67EF90"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Butler, R. N. (1969). </w:t>
      </w:r>
      <w:proofErr w:type="gramStart"/>
      <w:r w:rsidRPr="007D563A">
        <w:rPr>
          <w:rFonts w:ascii="Garamond" w:eastAsiaTheme="minorHAnsi" w:hAnsi="Garamond" w:cstheme="minorBidi"/>
          <w:sz w:val="24"/>
          <w:szCs w:val="24"/>
          <w:lang w:val="en-US" w:eastAsia="en-US"/>
        </w:rPr>
        <w:t>Age-ism</w:t>
      </w:r>
      <w:proofErr w:type="gramEnd"/>
      <w:r w:rsidRPr="007D563A">
        <w:rPr>
          <w:rFonts w:ascii="Garamond" w:eastAsiaTheme="minorHAnsi" w:hAnsi="Garamond" w:cstheme="minorBidi"/>
          <w:sz w:val="24"/>
          <w:szCs w:val="24"/>
          <w:lang w:val="en-US" w:eastAsia="en-US"/>
        </w:rPr>
        <w:t xml:space="preserve">: Another form of bigotry. </w:t>
      </w:r>
      <w:r w:rsidRPr="007D563A">
        <w:rPr>
          <w:rFonts w:ascii="Garamond" w:eastAsiaTheme="minorHAnsi" w:hAnsi="Garamond" w:cstheme="minorBidi"/>
          <w:i/>
          <w:iCs/>
          <w:sz w:val="24"/>
          <w:szCs w:val="24"/>
          <w:lang w:val="en-US" w:eastAsia="en-US"/>
        </w:rPr>
        <w:t>The Gerontologist, 9</w:t>
      </w:r>
      <w:r w:rsidRPr="007D563A">
        <w:rPr>
          <w:rFonts w:ascii="Garamond" w:eastAsiaTheme="minorHAnsi" w:hAnsi="Garamond" w:cstheme="minorBidi"/>
          <w:sz w:val="24"/>
          <w:szCs w:val="24"/>
          <w:lang w:val="en-US" w:eastAsia="en-US"/>
        </w:rPr>
        <w:t xml:space="preserve">(4), 243–246. </w:t>
      </w:r>
      <w:hyperlink r:id="rId8" w:history="1">
        <w:r w:rsidRPr="007D563A">
          <w:rPr>
            <w:rFonts w:ascii="Garamond" w:eastAsiaTheme="minorHAnsi" w:hAnsi="Garamond" w:cstheme="minorBidi"/>
            <w:color w:val="0000FF" w:themeColor="hyperlink"/>
            <w:sz w:val="24"/>
            <w:szCs w:val="24"/>
            <w:u w:val="single"/>
            <w:lang w:val="en-US" w:eastAsia="en-US"/>
          </w:rPr>
          <w:t>https://doi.org/10.1093/geront/9.4_Part_1.243</w:t>
        </w:r>
      </w:hyperlink>
    </w:p>
    <w:p w14:paraId="6A5E51A2"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Bytheway, B. (1995). Ageism. Rethinking ageing. Buckingham, PA: Open University Press.</w:t>
      </w:r>
    </w:p>
    <w:p w14:paraId="3F6EAA77"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Cardano, M. (2020). </w:t>
      </w:r>
      <w:r w:rsidRPr="007D563A">
        <w:rPr>
          <w:rFonts w:ascii="Garamond" w:eastAsiaTheme="minorHAnsi" w:hAnsi="Garamond" w:cstheme="minorBidi"/>
          <w:i/>
          <w:iCs/>
          <w:sz w:val="24"/>
          <w:szCs w:val="24"/>
          <w:lang w:val="en-US" w:eastAsia="en-US"/>
        </w:rPr>
        <w:t>Defending qualitative research: Design, analysis, and textualization</w:t>
      </w:r>
      <w:r w:rsidRPr="007D563A">
        <w:rPr>
          <w:rFonts w:ascii="Garamond" w:eastAsiaTheme="minorHAnsi" w:hAnsi="Garamond" w:cstheme="minorBidi"/>
          <w:sz w:val="24"/>
          <w:szCs w:val="24"/>
          <w:lang w:val="en-US" w:eastAsia="en-US"/>
        </w:rPr>
        <w:t>. Routledge.</w:t>
      </w:r>
    </w:p>
    <w:p w14:paraId="138E5F51"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it-IT" w:eastAsia="en-US"/>
        </w:rPr>
      </w:pPr>
      <w:r w:rsidRPr="007D563A">
        <w:rPr>
          <w:rFonts w:ascii="Garamond" w:eastAsiaTheme="minorHAnsi" w:hAnsi="Garamond" w:cstheme="minorBidi"/>
          <w:sz w:val="24"/>
          <w:szCs w:val="24"/>
          <w:lang w:val="en-US" w:eastAsia="en-US"/>
        </w:rPr>
        <w:t>Castellano-Rioja, E., Botella-Navas, M., López-Hernández, L., Martínez-Arnau, F. M., &amp; Pérez-Ros, P. (2022). Caring for the elderly enhances positive attitudes better than knowledge in nursing students. </w:t>
      </w:r>
      <w:r w:rsidRPr="007D563A">
        <w:rPr>
          <w:rFonts w:ascii="Garamond" w:eastAsiaTheme="minorHAnsi" w:hAnsi="Garamond" w:cstheme="minorBidi"/>
          <w:i/>
          <w:iCs/>
          <w:sz w:val="24"/>
          <w:szCs w:val="24"/>
          <w:lang w:val="it-IT" w:eastAsia="en-US"/>
        </w:rPr>
        <w:t>Medicina</w:t>
      </w:r>
      <w:r w:rsidRPr="007D563A">
        <w:rPr>
          <w:rFonts w:ascii="Garamond" w:eastAsiaTheme="minorHAnsi" w:hAnsi="Garamond" w:cstheme="minorBidi"/>
          <w:sz w:val="24"/>
          <w:szCs w:val="24"/>
          <w:lang w:val="it-IT" w:eastAsia="en-US"/>
        </w:rPr>
        <w:t>, </w:t>
      </w:r>
      <w:r w:rsidRPr="007D563A">
        <w:rPr>
          <w:rFonts w:ascii="Garamond" w:eastAsiaTheme="minorHAnsi" w:hAnsi="Garamond" w:cstheme="minorBidi"/>
          <w:i/>
          <w:iCs/>
          <w:sz w:val="24"/>
          <w:szCs w:val="24"/>
          <w:lang w:val="it-IT" w:eastAsia="en-US"/>
        </w:rPr>
        <w:t>58</w:t>
      </w:r>
      <w:r w:rsidRPr="007D563A">
        <w:rPr>
          <w:rFonts w:ascii="Garamond" w:eastAsiaTheme="minorHAnsi" w:hAnsi="Garamond" w:cstheme="minorBidi"/>
          <w:sz w:val="24"/>
          <w:szCs w:val="24"/>
          <w:lang w:val="it-IT" w:eastAsia="en-US"/>
        </w:rPr>
        <w:t>(9), 1201.</w:t>
      </w:r>
    </w:p>
    <w:p w14:paraId="57EB4FDC"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it-IT" w:eastAsia="en-US"/>
        </w:rPr>
        <w:t>Catalao</w:t>
      </w:r>
      <w:proofErr w:type="spellEnd"/>
      <w:r w:rsidRPr="007D563A">
        <w:rPr>
          <w:rFonts w:ascii="Garamond" w:eastAsiaTheme="minorHAnsi" w:hAnsi="Garamond" w:cstheme="minorBidi"/>
          <w:sz w:val="24"/>
          <w:szCs w:val="24"/>
          <w:lang w:val="it-IT" w:eastAsia="en-US"/>
        </w:rPr>
        <w:t xml:space="preserve">, M. J., Arco, H., </w:t>
      </w:r>
      <w:proofErr w:type="spellStart"/>
      <w:r w:rsidRPr="007D563A">
        <w:rPr>
          <w:rFonts w:ascii="Garamond" w:eastAsiaTheme="minorHAnsi" w:hAnsi="Garamond" w:cstheme="minorBidi"/>
          <w:sz w:val="24"/>
          <w:szCs w:val="24"/>
          <w:lang w:val="it-IT" w:eastAsia="en-US"/>
        </w:rPr>
        <w:t>Carrajola</w:t>
      </w:r>
      <w:proofErr w:type="spellEnd"/>
      <w:r w:rsidRPr="007D563A">
        <w:rPr>
          <w:rFonts w:ascii="Garamond" w:eastAsiaTheme="minorHAnsi" w:hAnsi="Garamond" w:cstheme="minorBidi"/>
          <w:sz w:val="24"/>
          <w:szCs w:val="24"/>
          <w:lang w:val="it-IT" w:eastAsia="en-US"/>
        </w:rPr>
        <w:t xml:space="preserve">, N., &amp; Tavares, J. (2025). </w:t>
      </w:r>
      <w:r w:rsidRPr="007D563A">
        <w:rPr>
          <w:rFonts w:ascii="Garamond" w:eastAsiaTheme="minorHAnsi" w:hAnsi="Garamond" w:cstheme="minorBidi"/>
          <w:sz w:val="24"/>
          <w:szCs w:val="24"/>
          <w:lang w:val="en-US" w:eastAsia="en-US"/>
        </w:rPr>
        <w:t xml:space="preserve">Ageism among newly graduated nurses: The influence of sociodemographic variables and </w:t>
      </w:r>
      <w:proofErr w:type="spellStart"/>
      <w:r w:rsidRPr="007D563A">
        <w:rPr>
          <w:rFonts w:ascii="Garamond" w:eastAsiaTheme="minorHAnsi" w:hAnsi="Garamond" w:cstheme="minorBidi"/>
          <w:sz w:val="24"/>
          <w:szCs w:val="24"/>
          <w:lang w:val="en-US" w:eastAsia="en-US"/>
        </w:rPr>
        <w:t>gerontogeriatric</w:t>
      </w:r>
      <w:proofErr w:type="spellEnd"/>
      <w:r w:rsidRPr="007D563A">
        <w:rPr>
          <w:rFonts w:ascii="Garamond" w:eastAsiaTheme="minorHAnsi" w:hAnsi="Garamond" w:cstheme="minorBidi"/>
          <w:sz w:val="24"/>
          <w:szCs w:val="24"/>
          <w:lang w:val="en-US" w:eastAsia="en-US"/>
        </w:rPr>
        <w:t xml:space="preserve"> nursing education. </w:t>
      </w:r>
      <w:r w:rsidRPr="007D563A">
        <w:rPr>
          <w:rFonts w:ascii="Garamond" w:eastAsiaTheme="minorHAnsi" w:hAnsi="Garamond" w:cstheme="minorBidi"/>
          <w:i/>
          <w:iCs/>
          <w:sz w:val="24"/>
          <w:szCs w:val="24"/>
          <w:lang w:val="en-US" w:eastAsia="en-US"/>
        </w:rPr>
        <w:t>Nurse Education in Practice</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83</w:t>
      </w:r>
      <w:r w:rsidRPr="007D563A">
        <w:rPr>
          <w:rFonts w:ascii="Garamond" w:eastAsiaTheme="minorHAnsi" w:hAnsi="Garamond" w:cstheme="minorBidi"/>
          <w:sz w:val="24"/>
          <w:szCs w:val="24"/>
          <w:lang w:val="en-US" w:eastAsia="en-US"/>
        </w:rPr>
        <w:t>, 104285.</w:t>
      </w:r>
    </w:p>
    <w:p w14:paraId="796395EB"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it-IT" w:eastAsia="en-US"/>
        </w:rPr>
      </w:pPr>
      <w:r w:rsidRPr="007D563A">
        <w:rPr>
          <w:rFonts w:ascii="Garamond" w:eastAsiaTheme="minorHAnsi" w:hAnsi="Garamond" w:cstheme="minorBidi"/>
          <w:sz w:val="24"/>
          <w:szCs w:val="24"/>
          <w:lang w:val="en-US" w:eastAsia="en-US"/>
        </w:rPr>
        <w:t>Cerqueira, A. F., Ramos, A. L., &amp; Palma, J. (2023). Ageism in nursing education: Students’ views of ageing. </w:t>
      </w:r>
      <w:r w:rsidRPr="007D563A">
        <w:rPr>
          <w:rFonts w:ascii="Garamond" w:eastAsiaTheme="minorHAnsi" w:hAnsi="Garamond" w:cstheme="minorBidi"/>
          <w:i/>
          <w:iCs/>
          <w:sz w:val="24"/>
          <w:szCs w:val="24"/>
          <w:lang w:val="it-IT" w:eastAsia="en-US"/>
        </w:rPr>
        <w:t>Social Sciences</w:t>
      </w:r>
      <w:r w:rsidRPr="007D563A">
        <w:rPr>
          <w:rFonts w:ascii="Garamond" w:eastAsiaTheme="minorHAnsi" w:hAnsi="Garamond" w:cstheme="minorBidi"/>
          <w:sz w:val="24"/>
          <w:szCs w:val="24"/>
          <w:lang w:val="it-IT" w:eastAsia="en-US"/>
        </w:rPr>
        <w:t>, </w:t>
      </w:r>
      <w:r w:rsidRPr="007D563A">
        <w:rPr>
          <w:rFonts w:ascii="Garamond" w:eastAsiaTheme="minorHAnsi" w:hAnsi="Garamond" w:cstheme="minorBidi"/>
          <w:i/>
          <w:iCs/>
          <w:sz w:val="24"/>
          <w:szCs w:val="24"/>
          <w:lang w:val="it-IT" w:eastAsia="en-US"/>
        </w:rPr>
        <w:t>12</w:t>
      </w:r>
      <w:r w:rsidRPr="007D563A">
        <w:rPr>
          <w:rFonts w:ascii="Garamond" w:eastAsiaTheme="minorHAnsi" w:hAnsi="Garamond" w:cstheme="minorBidi"/>
          <w:sz w:val="24"/>
          <w:szCs w:val="24"/>
          <w:lang w:val="it-IT" w:eastAsia="en-US"/>
        </w:rPr>
        <w:t>(3), 142.</w:t>
      </w:r>
    </w:p>
    <w:p w14:paraId="7C7B40E5"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it-IT" w:eastAsia="en-US"/>
        </w:rPr>
        <w:t xml:space="preserve">Cesari, M., Canevelli, M., Zhang, W., Thiyagarajan, J. A., Azzolino, D., Cherubini, A., ... </w:t>
      </w:r>
      <w:r w:rsidRPr="007D563A">
        <w:rPr>
          <w:rFonts w:ascii="Garamond" w:eastAsiaTheme="minorHAnsi" w:hAnsi="Garamond" w:cstheme="minorBidi"/>
          <w:sz w:val="24"/>
          <w:szCs w:val="24"/>
          <w:lang w:val="en-US" w:eastAsia="en-US"/>
        </w:rPr>
        <w:t>&amp; Moorthy, V. (2025). Enhancing the methodology of clinical trials in older people: A scoping review with global perspective. </w:t>
      </w:r>
      <w:r w:rsidRPr="007D563A">
        <w:rPr>
          <w:rFonts w:ascii="Garamond" w:eastAsiaTheme="minorHAnsi" w:hAnsi="Garamond" w:cstheme="minorBidi"/>
          <w:i/>
          <w:iCs/>
          <w:sz w:val="24"/>
          <w:szCs w:val="24"/>
          <w:lang w:eastAsia="en-US"/>
        </w:rPr>
        <w:t>The Journal of nutrition, health and aging</w:t>
      </w:r>
      <w:r w:rsidRPr="007D563A">
        <w:rPr>
          <w:rFonts w:ascii="Garamond" w:eastAsiaTheme="minorHAnsi" w:hAnsi="Garamond" w:cstheme="minorBidi"/>
          <w:sz w:val="24"/>
          <w:szCs w:val="24"/>
          <w:lang w:eastAsia="en-US"/>
        </w:rPr>
        <w:t>, </w:t>
      </w:r>
      <w:r w:rsidRPr="007D563A">
        <w:rPr>
          <w:rFonts w:ascii="Garamond" w:eastAsiaTheme="minorHAnsi" w:hAnsi="Garamond" w:cstheme="minorBidi"/>
          <w:i/>
          <w:iCs/>
          <w:sz w:val="24"/>
          <w:szCs w:val="24"/>
          <w:lang w:eastAsia="en-US"/>
        </w:rPr>
        <w:t>29</w:t>
      </w:r>
      <w:r w:rsidRPr="007D563A">
        <w:rPr>
          <w:rFonts w:ascii="Garamond" w:eastAsiaTheme="minorHAnsi" w:hAnsi="Garamond" w:cstheme="minorBidi"/>
          <w:sz w:val="24"/>
          <w:szCs w:val="24"/>
          <w:lang w:eastAsia="en-US"/>
        </w:rPr>
        <w:t>(6), 100582.</w:t>
      </w:r>
    </w:p>
    <w:p w14:paraId="1F757A05"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Chang, E. S., Kannoth, S., Levy, S., Wang, S. Y., Lee, J. E., &amp; Levy, B. R. (2020). Global reach of ageism on older </w:t>
      </w:r>
      <w:proofErr w:type="gramStart"/>
      <w:r w:rsidRPr="007D563A">
        <w:rPr>
          <w:rFonts w:ascii="Garamond" w:eastAsiaTheme="minorHAnsi" w:hAnsi="Garamond" w:cstheme="minorBidi"/>
          <w:sz w:val="24"/>
          <w:szCs w:val="24"/>
          <w:lang w:val="en-US" w:eastAsia="en-US"/>
        </w:rPr>
        <w:t>persons’</w:t>
      </w:r>
      <w:proofErr w:type="gramEnd"/>
      <w:r w:rsidRPr="007D563A">
        <w:rPr>
          <w:rFonts w:ascii="Garamond" w:eastAsiaTheme="minorHAnsi" w:hAnsi="Garamond" w:cstheme="minorBidi"/>
          <w:sz w:val="24"/>
          <w:szCs w:val="24"/>
          <w:lang w:val="en-US" w:eastAsia="en-US"/>
        </w:rPr>
        <w:t xml:space="preserve"> health: A systematic review. </w:t>
      </w:r>
      <w:proofErr w:type="spellStart"/>
      <w:r w:rsidRPr="007D563A">
        <w:rPr>
          <w:rFonts w:ascii="Garamond" w:eastAsiaTheme="minorHAnsi" w:hAnsi="Garamond" w:cstheme="minorBidi"/>
          <w:i/>
          <w:iCs/>
          <w:sz w:val="24"/>
          <w:szCs w:val="24"/>
          <w:lang w:val="en-US" w:eastAsia="en-US"/>
        </w:rPr>
        <w:t>PloS</w:t>
      </w:r>
      <w:proofErr w:type="spellEnd"/>
      <w:r w:rsidRPr="007D563A">
        <w:rPr>
          <w:rFonts w:ascii="Garamond" w:eastAsiaTheme="minorHAnsi" w:hAnsi="Garamond" w:cstheme="minorBidi"/>
          <w:i/>
          <w:iCs/>
          <w:sz w:val="24"/>
          <w:szCs w:val="24"/>
          <w:lang w:val="en-US" w:eastAsia="en-US"/>
        </w:rPr>
        <w:t xml:space="preserve"> ONE, 15</w:t>
      </w:r>
      <w:r w:rsidRPr="007D563A">
        <w:rPr>
          <w:rFonts w:ascii="Garamond" w:eastAsiaTheme="minorHAnsi" w:hAnsi="Garamond" w:cstheme="minorBidi"/>
          <w:sz w:val="24"/>
          <w:szCs w:val="24"/>
          <w:lang w:val="en-US" w:eastAsia="en-US"/>
        </w:rPr>
        <w:t>(1), e0220857. https://doi.org/10.1371/journal.pone.0220857</w:t>
      </w:r>
    </w:p>
    <w:p w14:paraId="78D6C9C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Chenhuichen</w:t>
      </w:r>
      <w:proofErr w:type="spellEnd"/>
      <w:r w:rsidRPr="007D563A">
        <w:rPr>
          <w:rFonts w:ascii="Garamond" w:eastAsiaTheme="minorHAnsi" w:hAnsi="Garamond" w:cstheme="minorBidi"/>
          <w:sz w:val="24"/>
          <w:szCs w:val="24"/>
          <w:lang w:val="en-US" w:eastAsia="en-US"/>
        </w:rPr>
        <w:t>, C., O’Halloran, A. M., Lang, D., Kenny, R. A., &amp; Romero-Ortuno, R. (2024). The lived experience of frailty: beyond classification and towards a holistic understanding of health. </w:t>
      </w:r>
      <w:r w:rsidRPr="007D563A">
        <w:rPr>
          <w:rFonts w:ascii="Garamond" w:eastAsiaTheme="minorHAnsi" w:hAnsi="Garamond" w:cstheme="minorBidi"/>
          <w:i/>
          <w:iCs/>
          <w:sz w:val="24"/>
          <w:szCs w:val="24"/>
          <w:lang w:val="en-US" w:eastAsia="en-US"/>
        </w:rPr>
        <w:t>European Geriatric Medicine</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15</w:t>
      </w:r>
      <w:r w:rsidRPr="007D563A">
        <w:rPr>
          <w:rFonts w:ascii="Garamond" w:eastAsiaTheme="minorHAnsi" w:hAnsi="Garamond" w:cstheme="minorBidi"/>
          <w:sz w:val="24"/>
          <w:szCs w:val="24"/>
          <w:lang w:val="en-US" w:eastAsia="en-US"/>
        </w:rPr>
        <w:t>(2), 435-444.</w:t>
      </w:r>
    </w:p>
    <w:p w14:paraId="63081828"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Chrisler, J. C., Barney, A., &amp; Palatino, B. (2016). Ageism can be hazardous to women’s health: Ageism, sexism, and stereotypes of aging. </w:t>
      </w:r>
      <w:r w:rsidRPr="007D563A">
        <w:rPr>
          <w:rFonts w:ascii="Garamond" w:eastAsiaTheme="minorHAnsi" w:hAnsi="Garamond" w:cstheme="minorBidi"/>
          <w:i/>
          <w:iCs/>
          <w:sz w:val="24"/>
          <w:szCs w:val="24"/>
          <w:lang w:val="en-US" w:eastAsia="en-US"/>
        </w:rPr>
        <w:t>Journal of Social Issues, 72</w:t>
      </w:r>
      <w:r w:rsidRPr="007D563A">
        <w:rPr>
          <w:rFonts w:ascii="Garamond" w:eastAsiaTheme="minorHAnsi" w:hAnsi="Garamond" w:cstheme="minorBidi"/>
          <w:sz w:val="24"/>
          <w:szCs w:val="24"/>
          <w:lang w:val="en-US" w:eastAsia="en-US"/>
        </w:rPr>
        <w:t>(1), 86–104. https://doi.org/10.1111/josi.12156</w:t>
      </w:r>
    </w:p>
    <w:p w14:paraId="4893A55A"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Comincioli</w:t>
      </w:r>
      <w:proofErr w:type="spellEnd"/>
      <w:r w:rsidRPr="007D563A">
        <w:rPr>
          <w:rFonts w:ascii="Garamond" w:eastAsiaTheme="minorHAnsi" w:hAnsi="Garamond" w:cstheme="minorBidi"/>
          <w:sz w:val="24"/>
          <w:szCs w:val="24"/>
          <w:lang w:val="en-US" w:eastAsia="en-US"/>
        </w:rPr>
        <w:t xml:space="preserve">, E., </w:t>
      </w:r>
      <w:proofErr w:type="spellStart"/>
      <w:r w:rsidRPr="007D563A">
        <w:rPr>
          <w:rFonts w:ascii="Garamond" w:eastAsiaTheme="minorHAnsi" w:hAnsi="Garamond" w:cstheme="minorBidi"/>
          <w:sz w:val="24"/>
          <w:szCs w:val="24"/>
          <w:lang w:val="en-US" w:eastAsia="en-US"/>
        </w:rPr>
        <w:t>Hakoköngäs</w:t>
      </w:r>
      <w:proofErr w:type="spellEnd"/>
      <w:r w:rsidRPr="007D563A">
        <w:rPr>
          <w:rFonts w:ascii="Garamond" w:eastAsiaTheme="minorHAnsi" w:hAnsi="Garamond" w:cstheme="minorBidi"/>
          <w:sz w:val="24"/>
          <w:szCs w:val="24"/>
          <w:lang w:val="en-US" w:eastAsia="en-US"/>
        </w:rPr>
        <w:t xml:space="preserve">, E., &amp; </w:t>
      </w:r>
      <w:proofErr w:type="spellStart"/>
      <w:r w:rsidRPr="007D563A">
        <w:rPr>
          <w:rFonts w:ascii="Garamond" w:eastAsiaTheme="minorHAnsi" w:hAnsi="Garamond" w:cstheme="minorBidi"/>
          <w:sz w:val="24"/>
          <w:szCs w:val="24"/>
          <w:lang w:val="en-US" w:eastAsia="en-US"/>
        </w:rPr>
        <w:t>Masoodian</w:t>
      </w:r>
      <w:proofErr w:type="spellEnd"/>
      <w:r w:rsidRPr="007D563A">
        <w:rPr>
          <w:rFonts w:ascii="Garamond" w:eastAsiaTheme="minorHAnsi" w:hAnsi="Garamond" w:cstheme="minorBidi"/>
          <w:sz w:val="24"/>
          <w:szCs w:val="24"/>
          <w:lang w:val="en-US" w:eastAsia="en-US"/>
        </w:rPr>
        <w:t>, M. (2022). Identifying and addressing implicit ageism in the co-design of services for aging people. </w:t>
      </w:r>
      <w:r w:rsidRPr="007D563A">
        <w:rPr>
          <w:rFonts w:ascii="Garamond" w:eastAsiaTheme="minorHAnsi" w:hAnsi="Garamond" w:cstheme="minorBidi"/>
          <w:i/>
          <w:iCs/>
          <w:sz w:val="24"/>
          <w:szCs w:val="24"/>
          <w:lang w:val="en-US" w:eastAsia="en-US"/>
        </w:rPr>
        <w:t>International journal of environmental research and public health</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19</w:t>
      </w:r>
      <w:r w:rsidRPr="007D563A">
        <w:rPr>
          <w:rFonts w:ascii="Garamond" w:eastAsiaTheme="minorHAnsi" w:hAnsi="Garamond" w:cstheme="minorBidi"/>
          <w:sz w:val="24"/>
          <w:szCs w:val="24"/>
          <w:lang w:val="en-US" w:eastAsia="en-US"/>
        </w:rPr>
        <w:t>(13), 7667.</w:t>
      </w:r>
    </w:p>
    <w:p w14:paraId="633B39F8"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COST, (2015). Ageism. </w:t>
      </w:r>
      <w:r w:rsidRPr="007D563A">
        <w:rPr>
          <w:rFonts w:ascii="Garamond" w:eastAsiaTheme="minorHAnsi" w:hAnsi="Garamond" w:cstheme="minorBidi"/>
          <w:sz w:val="24"/>
          <w:szCs w:val="24"/>
          <w:lang w:val="fr-FR" w:eastAsia="en-US"/>
        </w:rPr>
        <w:t xml:space="preserve">A multi national, </w:t>
      </w:r>
      <w:proofErr w:type="spellStart"/>
      <w:r w:rsidRPr="007D563A">
        <w:rPr>
          <w:rFonts w:ascii="Garamond" w:eastAsiaTheme="minorHAnsi" w:hAnsi="Garamond" w:cstheme="minorBidi"/>
          <w:sz w:val="24"/>
          <w:szCs w:val="24"/>
          <w:lang w:val="fr-FR" w:eastAsia="en-US"/>
        </w:rPr>
        <w:t>interdisciplinary</w:t>
      </w:r>
      <w:proofErr w:type="spellEnd"/>
      <w:r w:rsidRPr="007D563A">
        <w:rPr>
          <w:rFonts w:ascii="Garamond" w:eastAsiaTheme="minorHAnsi" w:hAnsi="Garamond" w:cstheme="minorBidi"/>
          <w:sz w:val="24"/>
          <w:szCs w:val="24"/>
          <w:lang w:val="fr-FR" w:eastAsia="en-US"/>
        </w:rPr>
        <w:t xml:space="preserve"> </w:t>
      </w:r>
      <w:proofErr w:type="spellStart"/>
      <w:r w:rsidRPr="007D563A">
        <w:rPr>
          <w:rFonts w:ascii="Garamond" w:eastAsiaTheme="minorHAnsi" w:hAnsi="Garamond" w:cstheme="minorBidi"/>
          <w:sz w:val="24"/>
          <w:szCs w:val="24"/>
          <w:lang w:val="fr-FR" w:eastAsia="en-US"/>
        </w:rPr>
        <w:t>perspectictive</w:t>
      </w:r>
      <w:proofErr w:type="spellEnd"/>
      <w:r w:rsidRPr="007D563A">
        <w:rPr>
          <w:rFonts w:ascii="Garamond" w:eastAsiaTheme="minorHAnsi" w:hAnsi="Garamond" w:cstheme="minorBidi"/>
          <w:sz w:val="24"/>
          <w:szCs w:val="24"/>
          <w:lang w:val="fr-FR" w:eastAsia="en-US"/>
        </w:rPr>
        <w:t xml:space="preserve">. </w:t>
      </w:r>
      <w:r w:rsidRPr="007D563A">
        <w:rPr>
          <w:rFonts w:ascii="Garamond" w:eastAsiaTheme="minorHAnsi" w:hAnsi="Garamond" w:cstheme="minorBidi"/>
          <w:sz w:val="24"/>
          <w:szCs w:val="24"/>
          <w:lang w:val="en-US" w:eastAsia="en-US"/>
        </w:rPr>
        <w:t xml:space="preserve">EU Framework </w:t>
      </w:r>
      <w:proofErr w:type="spellStart"/>
      <w:r w:rsidRPr="007D563A">
        <w:rPr>
          <w:rFonts w:ascii="Garamond" w:eastAsiaTheme="minorHAnsi" w:hAnsi="Garamond" w:cstheme="minorBidi"/>
          <w:sz w:val="24"/>
          <w:szCs w:val="24"/>
          <w:lang w:val="en-US" w:eastAsia="en-US"/>
        </w:rPr>
        <w:t>Programme</w:t>
      </w:r>
      <w:proofErr w:type="spellEnd"/>
      <w:r w:rsidRPr="007D563A">
        <w:rPr>
          <w:rFonts w:ascii="Garamond" w:eastAsiaTheme="minorHAnsi" w:hAnsi="Garamond" w:cstheme="minorBidi"/>
          <w:sz w:val="24"/>
          <w:szCs w:val="24"/>
          <w:lang w:val="en-US" w:eastAsia="en-US"/>
        </w:rPr>
        <w:t xml:space="preserve"> Horizon 2020. European Commission. Retrieved May 22, 2015, from http://www.cost.eu/COST_Actions/isch/Actions/IS1402.</w:t>
      </w:r>
    </w:p>
    <w:p w14:paraId="722BDBD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it-IT" w:eastAsia="en-US"/>
        </w:rPr>
        <w:t>Costa, J. R., Quintero-</w:t>
      </w:r>
      <w:proofErr w:type="spellStart"/>
      <w:r w:rsidRPr="007D563A">
        <w:rPr>
          <w:rFonts w:ascii="Garamond" w:eastAsiaTheme="minorHAnsi" w:hAnsi="Garamond" w:cstheme="minorBidi"/>
          <w:sz w:val="24"/>
          <w:szCs w:val="24"/>
          <w:lang w:val="it-IT" w:eastAsia="en-US"/>
        </w:rPr>
        <w:t>Flórez</w:t>
      </w:r>
      <w:proofErr w:type="spellEnd"/>
      <w:r w:rsidRPr="007D563A">
        <w:rPr>
          <w:rFonts w:ascii="Garamond" w:eastAsiaTheme="minorHAnsi" w:hAnsi="Garamond" w:cstheme="minorBidi"/>
          <w:sz w:val="24"/>
          <w:szCs w:val="24"/>
          <w:lang w:val="it-IT" w:eastAsia="en-US"/>
        </w:rPr>
        <w:t xml:space="preserve">, A., García-Cabrera, E., Romero-Barranca, J., &amp; Vilches-Arenas, Á. (2025). </w:t>
      </w:r>
      <w:r w:rsidRPr="007D563A">
        <w:rPr>
          <w:rFonts w:ascii="Garamond" w:eastAsiaTheme="minorHAnsi" w:hAnsi="Garamond" w:cstheme="minorBidi"/>
          <w:sz w:val="24"/>
          <w:szCs w:val="24"/>
          <w:lang w:val="en-US" w:eastAsia="en-US"/>
        </w:rPr>
        <w:t>Ageism and the feminization of old age: A Systematic review. </w:t>
      </w:r>
      <w:r w:rsidRPr="007D563A">
        <w:rPr>
          <w:rFonts w:ascii="Garamond" w:eastAsiaTheme="minorHAnsi" w:hAnsi="Garamond" w:cstheme="minorBidi"/>
          <w:i/>
          <w:iCs/>
          <w:sz w:val="24"/>
          <w:szCs w:val="24"/>
          <w:lang w:val="en-US" w:eastAsia="en-US"/>
        </w:rPr>
        <w:t>Archives of Gerontology and Geriatrics</w:t>
      </w:r>
      <w:r w:rsidRPr="007D563A">
        <w:rPr>
          <w:rFonts w:ascii="Garamond" w:eastAsiaTheme="minorHAnsi" w:hAnsi="Garamond" w:cstheme="minorBidi"/>
          <w:sz w:val="24"/>
          <w:szCs w:val="24"/>
          <w:lang w:val="en-US" w:eastAsia="en-US"/>
        </w:rPr>
        <w:t>, 106084.</w:t>
      </w:r>
    </w:p>
    <w:p w14:paraId="179DFE3C"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Crosignani</w:t>
      </w:r>
      <w:proofErr w:type="spellEnd"/>
      <w:r w:rsidRPr="007D563A">
        <w:rPr>
          <w:rFonts w:ascii="Garamond" w:eastAsiaTheme="minorHAnsi" w:hAnsi="Garamond" w:cstheme="minorBidi"/>
          <w:sz w:val="24"/>
          <w:szCs w:val="24"/>
          <w:lang w:val="en-US" w:eastAsia="en-US"/>
        </w:rPr>
        <w:t xml:space="preserve">, S., </w:t>
      </w:r>
      <w:proofErr w:type="spellStart"/>
      <w:r w:rsidRPr="007D563A">
        <w:rPr>
          <w:rFonts w:ascii="Garamond" w:eastAsiaTheme="minorHAnsi" w:hAnsi="Garamond" w:cstheme="minorBidi"/>
          <w:sz w:val="24"/>
          <w:szCs w:val="24"/>
          <w:lang w:val="en-US" w:eastAsia="en-US"/>
        </w:rPr>
        <w:t>Fantinati</w:t>
      </w:r>
      <w:proofErr w:type="spellEnd"/>
      <w:r w:rsidRPr="007D563A">
        <w:rPr>
          <w:rFonts w:ascii="Garamond" w:eastAsiaTheme="minorHAnsi" w:hAnsi="Garamond" w:cstheme="minorBidi"/>
          <w:sz w:val="24"/>
          <w:szCs w:val="24"/>
          <w:lang w:val="en-US" w:eastAsia="en-US"/>
        </w:rPr>
        <w:t>, J., &amp; Cesari, M. (2021). Frailty and geriatric medicine during the pandemic. </w:t>
      </w:r>
      <w:r w:rsidRPr="007D563A">
        <w:rPr>
          <w:rFonts w:ascii="Garamond" w:eastAsiaTheme="minorHAnsi" w:hAnsi="Garamond" w:cstheme="minorBidi"/>
          <w:i/>
          <w:iCs/>
          <w:sz w:val="24"/>
          <w:szCs w:val="24"/>
          <w:lang w:val="en-US" w:eastAsia="en-US"/>
        </w:rPr>
        <w:t>Frontiers in Medicine</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8</w:t>
      </w:r>
      <w:r w:rsidRPr="007D563A">
        <w:rPr>
          <w:rFonts w:ascii="Garamond" w:eastAsiaTheme="minorHAnsi" w:hAnsi="Garamond" w:cstheme="minorBidi"/>
          <w:sz w:val="24"/>
          <w:szCs w:val="24"/>
          <w:lang w:val="en-US" w:eastAsia="en-US"/>
        </w:rPr>
        <w:t>, 673814.</w:t>
      </w:r>
    </w:p>
    <w:p w14:paraId="232EF494"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eastAsia="en-US"/>
        </w:rPr>
        <w:t xml:space="preserve">D’hondt, S., </w:t>
      </w:r>
      <w:proofErr w:type="spellStart"/>
      <w:r w:rsidRPr="007D563A">
        <w:rPr>
          <w:rFonts w:ascii="Garamond" w:eastAsiaTheme="minorHAnsi" w:hAnsi="Garamond" w:cstheme="minorBidi"/>
          <w:sz w:val="24"/>
          <w:szCs w:val="24"/>
          <w:lang w:eastAsia="en-US"/>
        </w:rPr>
        <w:t>Aujoulat</w:t>
      </w:r>
      <w:proofErr w:type="spellEnd"/>
      <w:r w:rsidRPr="007D563A">
        <w:rPr>
          <w:rFonts w:ascii="Garamond" w:eastAsiaTheme="minorHAnsi" w:hAnsi="Garamond" w:cstheme="minorBidi"/>
          <w:sz w:val="24"/>
          <w:szCs w:val="24"/>
          <w:lang w:eastAsia="en-US"/>
        </w:rPr>
        <w:t xml:space="preserve">, I., &amp; Degryse, J. M. (2024). </w:t>
      </w:r>
      <w:r w:rsidRPr="007D563A">
        <w:rPr>
          <w:rFonts w:ascii="Garamond" w:eastAsiaTheme="minorHAnsi" w:hAnsi="Garamond" w:cstheme="minorBidi"/>
          <w:sz w:val="24"/>
          <w:szCs w:val="24"/>
          <w:lang w:val="en-US" w:eastAsia="en-US"/>
        </w:rPr>
        <w:t xml:space="preserve">Development and validation of a revised ambivalent ageism scale for use in the health care sector: The </w:t>
      </w:r>
      <w:proofErr w:type="spellStart"/>
      <w:r w:rsidRPr="007D563A">
        <w:rPr>
          <w:rFonts w:ascii="Garamond" w:eastAsiaTheme="minorHAnsi" w:hAnsi="Garamond" w:cstheme="minorBidi"/>
          <w:sz w:val="24"/>
          <w:szCs w:val="24"/>
          <w:lang w:val="en-US" w:eastAsia="en-US"/>
        </w:rPr>
        <w:t>AAShc</w:t>
      </w:r>
      <w:proofErr w:type="spellEnd"/>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The Gerontologist</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64</w:t>
      </w:r>
      <w:r w:rsidRPr="007D563A">
        <w:rPr>
          <w:rFonts w:ascii="Garamond" w:eastAsiaTheme="minorHAnsi" w:hAnsi="Garamond" w:cstheme="minorBidi"/>
          <w:sz w:val="24"/>
          <w:szCs w:val="24"/>
          <w:lang w:val="en-US" w:eastAsia="en-US"/>
        </w:rPr>
        <w:t>(4), gnad136.</w:t>
      </w:r>
    </w:p>
    <w:p w14:paraId="5B698EC2"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Draper, E. J., </w:t>
      </w:r>
      <w:proofErr w:type="spellStart"/>
      <w:r w:rsidRPr="007D563A">
        <w:rPr>
          <w:rFonts w:ascii="Garamond" w:eastAsiaTheme="minorHAnsi" w:hAnsi="Garamond" w:cstheme="minorBidi"/>
          <w:sz w:val="24"/>
          <w:szCs w:val="24"/>
          <w:lang w:val="en-US" w:eastAsia="en-US"/>
        </w:rPr>
        <w:t>Meiboom</w:t>
      </w:r>
      <w:proofErr w:type="spellEnd"/>
      <w:r w:rsidRPr="007D563A">
        <w:rPr>
          <w:rFonts w:ascii="Garamond" w:eastAsiaTheme="minorHAnsi" w:hAnsi="Garamond" w:cstheme="minorBidi"/>
          <w:sz w:val="24"/>
          <w:szCs w:val="24"/>
          <w:lang w:val="en-US" w:eastAsia="en-US"/>
        </w:rPr>
        <w:t xml:space="preserve">, A. A., van Dijk, N., Ket, J. C., Kusurkar, R. A., &amp; </w:t>
      </w:r>
      <w:proofErr w:type="spellStart"/>
      <w:r w:rsidRPr="007D563A">
        <w:rPr>
          <w:rFonts w:ascii="Garamond" w:eastAsiaTheme="minorHAnsi" w:hAnsi="Garamond" w:cstheme="minorBidi"/>
          <w:sz w:val="24"/>
          <w:szCs w:val="24"/>
          <w:lang w:val="en-US" w:eastAsia="en-US"/>
        </w:rPr>
        <w:t>Smalbrugge</w:t>
      </w:r>
      <w:proofErr w:type="spellEnd"/>
      <w:r w:rsidRPr="007D563A">
        <w:rPr>
          <w:rFonts w:ascii="Garamond" w:eastAsiaTheme="minorHAnsi" w:hAnsi="Garamond" w:cstheme="minorBidi"/>
          <w:sz w:val="24"/>
          <w:szCs w:val="24"/>
          <w:lang w:val="en-US" w:eastAsia="en-US"/>
        </w:rPr>
        <w:t>, M. (2024). How do ageism, death anxiety and ageing anxiety among medical students and residents affect their attitude towards medical care for older patients: a systematic review. </w:t>
      </w:r>
      <w:r w:rsidRPr="007D563A">
        <w:rPr>
          <w:rFonts w:ascii="Garamond" w:eastAsiaTheme="minorHAnsi" w:hAnsi="Garamond" w:cstheme="minorBidi"/>
          <w:i/>
          <w:iCs/>
          <w:sz w:val="24"/>
          <w:szCs w:val="24"/>
          <w:lang w:val="en-US" w:eastAsia="en-US"/>
        </w:rPr>
        <w:t>BMC medical education</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24</w:t>
      </w:r>
      <w:r w:rsidRPr="007D563A">
        <w:rPr>
          <w:rFonts w:ascii="Garamond" w:eastAsiaTheme="minorHAnsi" w:hAnsi="Garamond" w:cstheme="minorBidi"/>
          <w:sz w:val="24"/>
          <w:szCs w:val="24"/>
          <w:lang w:val="en-US" w:eastAsia="en-US"/>
        </w:rPr>
        <w:t>(1), 199.</w:t>
      </w:r>
    </w:p>
    <w:p w14:paraId="7B967CC5"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lastRenderedPageBreak/>
        <w:t>Elvira-Zorzo, M. N., &amp; Vega Rodríguez, M. T. (2025). Changing Attitudes Towards Retirement and Ageing Through Flipped Classroom and Collaborative Learning: A Social Psychological Study with Psychology and Social Work Students. </w:t>
      </w:r>
      <w:r w:rsidRPr="007D563A">
        <w:rPr>
          <w:rFonts w:ascii="Garamond" w:eastAsiaTheme="minorHAnsi" w:hAnsi="Garamond" w:cstheme="minorBidi"/>
          <w:i/>
          <w:iCs/>
          <w:sz w:val="24"/>
          <w:szCs w:val="24"/>
          <w:lang w:val="en-US" w:eastAsia="en-US"/>
        </w:rPr>
        <w:t>Social Sciences</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14</w:t>
      </w:r>
      <w:r w:rsidRPr="007D563A">
        <w:rPr>
          <w:rFonts w:ascii="Garamond" w:eastAsiaTheme="minorHAnsi" w:hAnsi="Garamond" w:cstheme="minorBidi"/>
          <w:sz w:val="24"/>
          <w:szCs w:val="24"/>
          <w:lang w:val="en-US" w:eastAsia="en-US"/>
        </w:rPr>
        <w:t>(9), 562.</w:t>
      </w:r>
    </w:p>
    <w:p w14:paraId="573D78AB"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Fernandes, J. B., Ramos, C., Domingos, J., Castro, C., Simões, A., Bernardes, C., Fonseca, J., Proença, L., </w:t>
      </w:r>
      <w:proofErr w:type="spellStart"/>
      <w:r w:rsidRPr="007D563A">
        <w:rPr>
          <w:rFonts w:ascii="Garamond" w:eastAsiaTheme="minorHAnsi" w:hAnsi="Garamond" w:cstheme="minorBidi"/>
          <w:sz w:val="24"/>
          <w:szCs w:val="24"/>
          <w:lang w:val="en-US" w:eastAsia="en-US"/>
        </w:rPr>
        <w:t>Grunho</w:t>
      </w:r>
      <w:proofErr w:type="spellEnd"/>
      <w:r w:rsidRPr="007D563A">
        <w:rPr>
          <w:rFonts w:ascii="Garamond" w:eastAsiaTheme="minorHAnsi" w:hAnsi="Garamond" w:cstheme="minorBidi"/>
          <w:sz w:val="24"/>
          <w:szCs w:val="24"/>
          <w:lang w:val="en-US" w:eastAsia="en-US"/>
        </w:rPr>
        <w:t xml:space="preserve">, M., </w:t>
      </w:r>
      <w:proofErr w:type="spellStart"/>
      <w:r w:rsidRPr="007D563A">
        <w:rPr>
          <w:rFonts w:ascii="Garamond" w:eastAsiaTheme="minorHAnsi" w:hAnsi="Garamond" w:cstheme="minorBidi"/>
          <w:sz w:val="24"/>
          <w:szCs w:val="24"/>
          <w:lang w:val="en-US" w:eastAsia="en-US"/>
        </w:rPr>
        <w:t>Moleirinho</w:t>
      </w:r>
      <w:proofErr w:type="spellEnd"/>
      <w:r w:rsidRPr="007D563A">
        <w:rPr>
          <w:rFonts w:ascii="Garamond" w:eastAsiaTheme="minorHAnsi" w:hAnsi="Garamond" w:cstheme="minorBidi"/>
          <w:sz w:val="24"/>
          <w:szCs w:val="24"/>
          <w:lang w:val="en-US" w:eastAsia="en-US"/>
        </w:rPr>
        <w:t xml:space="preserve">-Alves, P., Simões, S., Sousa-Catita, D., </w:t>
      </w:r>
      <w:proofErr w:type="spellStart"/>
      <w:r w:rsidRPr="007D563A">
        <w:rPr>
          <w:rFonts w:ascii="Garamond" w:eastAsiaTheme="minorHAnsi" w:hAnsi="Garamond" w:cstheme="minorBidi"/>
          <w:sz w:val="24"/>
          <w:szCs w:val="24"/>
          <w:lang w:val="en-US" w:eastAsia="en-US"/>
        </w:rPr>
        <w:t>Vareta</w:t>
      </w:r>
      <w:proofErr w:type="spellEnd"/>
      <w:r w:rsidRPr="007D563A">
        <w:rPr>
          <w:rFonts w:ascii="Garamond" w:eastAsiaTheme="minorHAnsi" w:hAnsi="Garamond" w:cstheme="minorBidi"/>
          <w:sz w:val="24"/>
          <w:szCs w:val="24"/>
          <w:lang w:val="en-US" w:eastAsia="en-US"/>
        </w:rPr>
        <w:t>, D. A., &amp; Godinho, C. (2022). Addressing Ageism—Be Active in Aging: Study Protocol. </w:t>
      </w:r>
      <w:r w:rsidRPr="007D563A">
        <w:rPr>
          <w:rFonts w:ascii="Garamond" w:eastAsiaTheme="minorHAnsi" w:hAnsi="Garamond" w:cstheme="minorBidi"/>
          <w:i/>
          <w:iCs/>
          <w:sz w:val="24"/>
          <w:szCs w:val="24"/>
          <w:lang w:val="en-US" w:eastAsia="en-US"/>
        </w:rPr>
        <w:t>Journal of Personalized Medicine</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12</w:t>
      </w:r>
      <w:r w:rsidRPr="007D563A">
        <w:rPr>
          <w:rFonts w:ascii="Garamond" w:eastAsiaTheme="minorHAnsi" w:hAnsi="Garamond" w:cstheme="minorBidi"/>
          <w:sz w:val="24"/>
          <w:szCs w:val="24"/>
          <w:lang w:val="en-US" w:eastAsia="en-US"/>
        </w:rPr>
        <w:t>(3), 354. https://doi.org/10.3390/jpm12030354</w:t>
      </w:r>
    </w:p>
    <w:p w14:paraId="6C4B0F8F"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it-IT" w:eastAsia="en-US"/>
        </w:rPr>
      </w:pPr>
      <w:r w:rsidRPr="007D563A">
        <w:rPr>
          <w:rFonts w:ascii="Garamond" w:eastAsiaTheme="minorHAnsi" w:hAnsi="Garamond" w:cstheme="minorBidi"/>
          <w:sz w:val="24"/>
          <w:szCs w:val="24"/>
          <w:lang w:val="en-US" w:eastAsia="en-US"/>
        </w:rPr>
        <w:t xml:space="preserve">Fitzpatrick, J. M., Hayes, N., Naughton, C., &amp; </w:t>
      </w:r>
      <w:proofErr w:type="spellStart"/>
      <w:r w:rsidRPr="007D563A">
        <w:rPr>
          <w:rFonts w:ascii="Garamond" w:eastAsiaTheme="minorHAnsi" w:hAnsi="Garamond" w:cstheme="minorBidi"/>
          <w:sz w:val="24"/>
          <w:szCs w:val="24"/>
          <w:lang w:val="en-US" w:eastAsia="en-US"/>
        </w:rPr>
        <w:t>Ezhova</w:t>
      </w:r>
      <w:proofErr w:type="spellEnd"/>
      <w:r w:rsidRPr="007D563A">
        <w:rPr>
          <w:rFonts w:ascii="Garamond" w:eastAsiaTheme="minorHAnsi" w:hAnsi="Garamond" w:cstheme="minorBidi"/>
          <w:sz w:val="24"/>
          <w:szCs w:val="24"/>
          <w:lang w:val="en-US" w:eastAsia="en-US"/>
        </w:rPr>
        <w:t xml:space="preserve">, I. (2021). Evaluating a specialist education </w:t>
      </w:r>
      <w:proofErr w:type="spellStart"/>
      <w:r w:rsidRPr="007D563A">
        <w:rPr>
          <w:rFonts w:ascii="Garamond" w:eastAsiaTheme="minorHAnsi" w:hAnsi="Garamond" w:cstheme="minorBidi"/>
          <w:sz w:val="24"/>
          <w:szCs w:val="24"/>
          <w:lang w:val="en-US" w:eastAsia="en-US"/>
        </w:rPr>
        <w:t>programme</w:t>
      </w:r>
      <w:proofErr w:type="spellEnd"/>
      <w:r w:rsidRPr="007D563A">
        <w:rPr>
          <w:rFonts w:ascii="Garamond" w:eastAsiaTheme="minorHAnsi" w:hAnsi="Garamond" w:cstheme="minorBidi"/>
          <w:sz w:val="24"/>
          <w:szCs w:val="24"/>
          <w:lang w:val="en-US" w:eastAsia="en-US"/>
        </w:rPr>
        <w:t xml:space="preserve"> for nurses and allied health professionals working in older </w:t>
      </w:r>
      <w:proofErr w:type="gramStart"/>
      <w:r w:rsidRPr="007D563A">
        <w:rPr>
          <w:rFonts w:ascii="Garamond" w:eastAsiaTheme="minorHAnsi" w:hAnsi="Garamond" w:cstheme="minorBidi"/>
          <w:sz w:val="24"/>
          <w:szCs w:val="24"/>
          <w:lang w:val="en-US" w:eastAsia="en-US"/>
        </w:rPr>
        <w:t>people</w:t>
      </w:r>
      <w:proofErr w:type="gramEnd"/>
      <w:r w:rsidRPr="007D563A">
        <w:rPr>
          <w:rFonts w:ascii="Garamond" w:eastAsiaTheme="minorHAnsi" w:hAnsi="Garamond" w:cstheme="minorBidi"/>
          <w:sz w:val="24"/>
          <w:szCs w:val="24"/>
          <w:lang w:val="en-US" w:eastAsia="en-US"/>
        </w:rPr>
        <w:t xml:space="preserve"> care: A qualitative analysis of motivations and impact. </w:t>
      </w:r>
      <w:r w:rsidRPr="007D563A">
        <w:rPr>
          <w:rFonts w:ascii="Garamond" w:eastAsiaTheme="minorHAnsi" w:hAnsi="Garamond" w:cstheme="minorBidi"/>
          <w:i/>
          <w:iCs/>
          <w:sz w:val="24"/>
          <w:szCs w:val="24"/>
          <w:lang w:val="it-IT" w:eastAsia="en-US"/>
        </w:rPr>
        <w:t xml:space="preserve">Nurse </w:t>
      </w:r>
      <w:proofErr w:type="spellStart"/>
      <w:r w:rsidRPr="007D563A">
        <w:rPr>
          <w:rFonts w:ascii="Garamond" w:eastAsiaTheme="minorHAnsi" w:hAnsi="Garamond" w:cstheme="minorBidi"/>
          <w:i/>
          <w:iCs/>
          <w:sz w:val="24"/>
          <w:szCs w:val="24"/>
          <w:lang w:val="it-IT" w:eastAsia="en-US"/>
        </w:rPr>
        <w:t>Education</w:t>
      </w:r>
      <w:proofErr w:type="spellEnd"/>
      <w:r w:rsidRPr="007D563A">
        <w:rPr>
          <w:rFonts w:ascii="Garamond" w:eastAsiaTheme="minorHAnsi" w:hAnsi="Garamond" w:cstheme="minorBidi"/>
          <w:i/>
          <w:iCs/>
          <w:sz w:val="24"/>
          <w:szCs w:val="24"/>
          <w:lang w:val="it-IT" w:eastAsia="en-US"/>
        </w:rPr>
        <w:t xml:space="preserve"> Today</w:t>
      </w:r>
      <w:r w:rsidRPr="007D563A">
        <w:rPr>
          <w:rFonts w:ascii="Garamond" w:eastAsiaTheme="minorHAnsi" w:hAnsi="Garamond" w:cstheme="minorBidi"/>
          <w:sz w:val="24"/>
          <w:szCs w:val="24"/>
          <w:lang w:val="it-IT" w:eastAsia="en-US"/>
        </w:rPr>
        <w:t>, </w:t>
      </w:r>
      <w:r w:rsidRPr="007D563A">
        <w:rPr>
          <w:rFonts w:ascii="Garamond" w:eastAsiaTheme="minorHAnsi" w:hAnsi="Garamond" w:cstheme="minorBidi"/>
          <w:i/>
          <w:iCs/>
          <w:sz w:val="24"/>
          <w:szCs w:val="24"/>
          <w:lang w:val="it-IT" w:eastAsia="en-US"/>
        </w:rPr>
        <w:t>97</w:t>
      </w:r>
      <w:r w:rsidRPr="007D563A">
        <w:rPr>
          <w:rFonts w:ascii="Garamond" w:eastAsiaTheme="minorHAnsi" w:hAnsi="Garamond" w:cstheme="minorBidi"/>
          <w:sz w:val="24"/>
          <w:szCs w:val="24"/>
          <w:lang w:val="it-IT" w:eastAsia="en-US"/>
        </w:rPr>
        <w:t>, 104708.</w:t>
      </w:r>
    </w:p>
    <w:p w14:paraId="16A0E02E"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it-IT" w:eastAsia="en-US"/>
        </w:rPr>
        <w:t xml:space="preserve">Fumagalli, C., Zampieri, M., Presta, R., Pini, G., Vetere, G., Argirò, A., ... </w:t>
      </w:r>
      <w:r w:rsidRPr="007D563A">
        <w:rPr>
          <w:rFonts w:ascii="Garamond" w:eastAsiaTheme="minorHAnsi" w:hAnsi="Garamond" w:cstheme="minorBidi"/>
          <w:sz w:val="24"/>
          <w:szCs w:val="24"/>
          <w:lang w:val="en-US" w:eastAsia="en-US"/>
        </w:rPr>
        <w:t xml:space="preserve">&amp; Cappelli, F. (2025). Prognostic Value of Malnutrition, Frailty, and Physical Performance in Transthyretin Cardiac Amyloidosis: Insights </w:t>
      </w:r>
      <w:proofErr w:type="gramStart"/>
      <w:r w:rsidRPr="007D563A">
        <w:rPr>
          <w:rFonts w:ascii="Garamond" w:eastAsiaTheme="minorHAnsi" w:hAnsi="Garamond" w:cstheme="minorBidi"/>
          <w:sz w:val="24"/>
          <w:szCs w:val="24"/>
          <w:lang w:val="en-US" w:eastAsia="en-US"/>
        </w:rPr>
        <w:t>From</w:t>
      </w:r>
      <w:proofErr w:type="gramEnd"/>
      <w:r w:rsidRPr="007D563A">
        <w:rPr>
          <w:rFonts w:ascii="Garamond" w:eastAsiaTheme="minorHAnsi" w:hAnsi="Garamond" w:cstheme="minorBidi"/>
          <w:sz w:val="24"/>
          <w:szCs w:val="24"/>
          <w:lang w:val="en-US" w:eastAsia="en-US"/>
        </w:rPr>
        <w:t xml:space="preserve"> a Prospective Multicenter Cohort Study. </w:t>
      </w:r>
      <w:r w:rsidRPr="007D563A">
        <w:rPr>
          <w:rFonts w:ascii="Garamond" w:eastAsiaTheme="minorHAnsi" w:hAnsi="Garamond" w:cstheme="minorBidi"/>
          <w:i/>
          <w:iCs/>
          <w:sz w:val="24"/>
          <w:szCs w:val="24"/>
          <w:lang w:val="en-US" w:eastAsia="en-US"/>
        </w:rPr>
        <w:t>Circulation: Heart Failure</w:t>
      </w:r>
      <w:r w:rsidRPr="007D563A">
        <w:rPr>
          <w:rFonts w:ascii="Garamond" w:eastAsiaTheme="minorHAnsi" w:hAnsi="Garamond" w:cstheme="minorBidi"/>
          <w:sz w:val="24"/>
          <w:szCs w:val="24"/>
          <w:lang w:val="en-US" w:eastAsia="en-US"/>
        </w:rPr>
        <w:t>, e012777.</w:t>
      </w:r>
    </w:p>
    <w:p w14:paraId="34C508AC"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Gallistl</w:t>
      </w:r>
      <w:proofErr w:type="spellEnd"/>
      <w:r w:rsidRPr="007D563A">
        <w:rPr>
          <w:rFonts w:ascii="Garamond" w:eastAsiaTheme="minorHAnsi" w:hAnsi="Garamond" w:cstheme="minorBidi"/>
          <w:sz w:val="24"/>
          <w:szCs w:val="24"/>
          <w:lang w:val="en-US" w:eastAsia="en-US"/>
        </w:rPr>
        <w:t>, V., Richter, L., Heidinger, T., Schütz, T., Rohner, R., Hengl, L., &amp; Kolland, F. (2024). Precarious ageing in a global pandemic–older adults' experiences of being at risk due to COVID-19. </w:t>
      </w:r>
      <w:r w:rsidRPr="007D563A">
        <w:rPr>
          <w:rFonts w:ascii="Garamond" w:eastAsiaTheme="minorHAnsi" w:hAnsi="Garamond" w:cstheme="minorBidi"/>
          <w:i/>
          <w:iCs/>
          <w:sz w:val="24"/>
          <w:szCs w:val="24"/>
          <w:lang w:val="en-US" w:eastAsia="en-US"/>
        </w:rPr>
        <w:t>Ageing &amp; Society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44</w:t>
      </w:r>
      <w:r w:rsidRPr="007D563A">
        <w:rPr>
          <w:rFonts w:ascii="Garamond" w:eastAsiaTheme="minorHAnsi" w:hAnsi="Garamond" w:cstheme="minorBidi"/>
          <w:sz w:val="24"/>
          <w:szCs w:val="24"/>
          <w:lang w:val="en-US" w:eastAsia="en-US"/>
        </w:rPr>
        <w:t>(5), 991-1009.</w:t>
      </w:r>
    </w:p>
    <w:p w14:paraId="05EA7EA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Gram, E. G., Knudsen, S. W., Brodersen, J. B., &amp; Jønsson, A. B. R. (2023). Women's experiences of age</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related discontinuation from mammography screening: A qualitative interview study. </w:t>
      </w:r>
      <w:r w:rsidRPr="007D563A">
        <w:rPr>
          <w:rFonts w:ascii="Garamond" w:eastAsiaTheme="minorHAnsi" w:hAnsi="Garamond" w:cstheme="minorBidi"/>
          <w:i/>
          <w:iCs/>
          <w:sz w:val="24"/>
          <w:szCs w:val="24"/>
          <w:lang w:val="en-US" w:eastAsia="en-US"/>
        </w:rPr>
        <w:t>Health Expectations</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26</w:t>
      </w:r>
      <w:r w:rsidRPr="007D563A">
        <w:rPr>
          <w:rFonts w:ascii="Garamond" w:eastAsiaTheme="minorHAnsi" w:hAnsi="Garamond" w:cstheme="minorBidi"/>
          <w:sz w:val="24"/>
          <w:szCs w:val="24"/>
          <w:lang w:val="en-US" w:eastAsia="en-US"/>
        </w:rPr>
        <w:t>(3), 1096-1106.</w:t>
      </w:r>
    </w:p>
    <w:p w14:paraId="1009DA83"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Grosse, A., &amp; </w:t>
      </w:r>
      <w:proofErr w:type="spellStart"/>
      <w:r w:rsidRPr="007D563A">
        <w:rPr>
          <w:rFonts w:ascii="Garamond" w:eastAsiaTheme="minorHAnsi" w:hAnsi="Garamond" w:cstheme="minorBidi"/>
          <w:sz w:val="24"/>
          <w:szCs w:val="24"/>
          <w:lang w:val="en-US" w:eastAsia="en-US"/>
        </w:rPr>
        <w:t>Kokorelias</w:t>
      </w:r>
      <w:proofErr w:type="spellEnd"/>
      <w:r w:rsidRPr="007D563A">
        <w:rPr>
          <w:rFonts w:ascii="Garamond" w:eastAsiaTheme="minorHAnsi" w:hAnsi="Garamond" w:cstheme="minorBidi"/>
          <w:sz w:val="24"/>
          <w:szCs w:val="24"/>
          <w:lang w:val="en-US" w:eastAsia="en-US"/>
        </w:rPr>
        <w:t>, K. (2025). Exploring ageism in medical education: A scoping review of the educational factors affecting the attitudes of medical students and junior doctors towards older inpatients. </w:t>
      </w:r>
      <w:r w:rsidRPr="007D563A">
        <w:rPr>
          <w:rFonts w:ascii="Garamond" w:eastAsiaTheme="minorHAnsi" w:hAnsi="Garamond" w:cstheme="minorBidi"/>
          <w:i/>
          <w:iCs/>
          <w:sz w:val="24"/>
          <w:szCs w:val="24"/>
          <w:lang w:val="en-US" w:eastAsia="en-US"/>
        </w:rPr>
        <w:t>Australasian journal on ageing</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44</w:t>
      </w:r>
      <w:r w:rsidRPr="007D563A">
        <w:rPr>
          <w:rFonts w:ascii="Garamond" w:eastAsiaTheme="minorHAnsi" w:hAnsi="Garamond" w:cstheme="minorBidi"/>
          <w:sz w:val="24"/>
          <w:szCs w:val="24"/>
          <w:lang w:val="en-US" w:eastAsia="en-US"/>
        </w:rPr>
        <w:t>(1), e70016.</w:t>
      </w:r>
    </w:p>
    <w:p w14:paraId="65108125"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Gümüşler</w:t>
      </w:r>
      <w:proofErr w:type="spellEnd"/>
      <w:r w:rsidRPr="007D563A">
        <w:rPr>
          <w:rFonts w:ascii="Garamond" w:eastAsiaTheme="minorHAnsi" w:hAnsi="Garamond" w:cstheme="minorBidi"/>
          <w:sz w:val="24"/>
          <w:szCs w:val="24"/>
          <w:lang w:val="en-US" w:eastAsia="en-US"/>
        </w:rPr>
        <w:t xml:space="preserve"> Başaran, A., Genç Köse, B., &amp; </w:t>
      </w:r>
      <w:proofErr w:type="spellStart"/>
      <w:r w:rsidRPr="007D563A">
        <w:rPr>
          <w:rFonts w:ascii="Garamond" w:eastAsiaTheme="minorHAnsi" w:hAnsi="Garamond" w:cstheme="minorBidi"/>
          <w:sz w:val="24"/>
          <w:szCs w:val="24"/>
          <w:lang w:val="en-US" w:eastAsia="en-US"/>
        </w:rPr>
        <w:t>Kefeli</w:t>
      </w:r>
      <w:proofErr w:type="spellEnd"/>
      <w:r w:rsidRPr="007D563A">
        <w:rPr>
          <w:rFonts w:ascii="Garamond" w:eastAsiaTheme="minorHAnsi" w:hAnsi="Garamond" w:cstheme="minorBidi"/>
          <w:sz w:val="24"/>
          <w:szCs w:val="24"/>
          <w:lang w:val="en-US" w:eastAsia="en-US"/>
        </w:rPr>
        <w:t xml:space="preserve"> </w:t>
      </w:r>
      <w:proofErr w:type="spellStart"/>
      <w:r w:rsidRPr="007D563A">
        <w:rPr>
          <w:rFonts w:ascii="Garamond" w:eastAsiaTheme="minorHAnsi" w:hAnsi="Garamond" w:cstheme="minorBidi"/>
          <w:sz w:val="24"/>
          <w:szCs w:val="24"/>
          <w:lang w:val="en-US" w:eastAsia="en-US"/>
        </w:rPr>
        <w:t>Çol</w:t>
      </w:r>
      <w:proofErr w:type="spellEnd"/>
      <w:r w:rsidRPr="007D563A">
        <w:rPr>
          <w:rFonts w:ascii="Garamond" w:eastAsiaTheme="minorHAnsi" w:hAnsi="Garamond" w:cstheme="minorBidi"/>
          <w:sz w:val="24"/>
          <w:szCs w:val="24"/>
          <w:lang w:val="en-US" w:eastAsia="en-US"/>
        </w:rPr>
        <w:t>, B. (2024). Elderly Discrimination, Willingness to Provide Care to the Elderly and View on Aging of Students in Some Departments in the Field of Health. </w:t>
      </w:r>
      <w:r w:rsidRPr="007D563A">
        <w:rPr>
          <w:rFonts w:ascii="Garamond" w:eastAsiaTheme="minorHAnsi" w:hAnsi="Garamond" w:cstheme="minorBidi"/>
          <w:i/>
          <w:iCs/>
          <w:sz w:val="24"/>
          <w:szCs w:val="24"/>
          <w:lang w:val="en-US" w:eastAsia="en-US"/>
        </w:rPr>
        <w:t>Journal of Multidisciplinary Healthcare</w:t>
      </w:r>
      <w:r w:rsidRPr="007D563A">
        <w:rPr>
          <w:rFonts w:ascii="Garamond" w:eastAsiaTheme="minorHAnsi" w:hAnsi="Garamond" w:cstheme="minorBidi"/>
          <w:sz w:val="24"/>
          <w:szCs w:val="24"/>
          <w:lang w:val="en-US" w:eastAsia="en-US"/>
        </w:rPr>
        <w:t>, 5035-5045.</w:t>
      </w:r>
    </w:p>
    <w:p w14:paraId="45375310"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Heckemann, B., </w:t>
      </w:r>
      <w:proofErr w:type="spellStart"/>
      <w:r w:rsidRPr="007D563A">
        <w:rPr>
          <w:rFonts w:ascii="Garamond" w:eastAsiaTheme="minorHAnsi" w:hAnsi="Garamond" w:cstheme="minorBidi"/>
          <w:sz w:val="24"/>
          <w:szCs w:val="24"/>
          <w:lang w:val="en-US" w:eastAsia="en-US"/>
        </w:rPr>
        <w:t>Schüttengruber</w:t>
      </w:r>
      <w:proofErr w:type="spellEnd"/>
      <w:r w:rsidRPr="007D563A">
        <w:rPr>
          <w:rFonts w:ascii="Garamond" w:eastAsiaTheme="minorHAnsi" w:hAnsi="Garamond" w:cstheme="minorBidi"/>
          <w:sz w:val="24"/>
          <w:szCs w:val="24"/>
          <w:lang w:val="en-US" w:eastAsia="en-US"/>
        </w:rPr>
        <w:t xml:space="preserve">, G., Wolf, A., </w:t>
      </w:r>
      <w:proofErr w:type="spellStart"/>
      <w:r w:rsidRPr="007D563A">
        <w:rPr>
          <w:rFonts w:ascii="Garamond" w:eastAsiaTheme="minorHAnsi" w:hAnsi="Garamond" w:cstheme="minorBidi"/>
          <w:sz w:val="24"/>
          <w:szCs w:val="24"/>
          <w:lang w:val="en-US" w:eastAsia="en-US"/>
        </w:rPr>
        <w:t>Großschädl</w:t>
      </w:r>
      <w:proofErr w:type="spellEnd"/>
      <w:r w:rsidRPr="007D563A">
        <w:rPr>
          <w:rFonts w:ascii="Garamond" w:eastAsiaTheme="minorHAnsi" w:hAnsi="Garamond" w:cstheme="minorBidi"/>
          <w:sz w:val="24"/>
          <w:szCs w:val="24"/>
          <w:lang w:val="en-US" w:eastAsia="en-US"/>
        </w:rPr>
        <w:t>, F., &amp; Holmberg, C. (2022). Attitudes towards oldest</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old adults (age≥ 80 years): A survey and international comparison between Swedish and Austrian nursing students. </w:t>
      </w:r>
      <w:r w:rsidRPr="007D563A">
        <w:rPr>
          <w:rFonts w:ascii="Garamond" w:eastAsiaTheme="minorHAnsi" w:hAnsi="Garamond" w:cstheme="minorBidi"/>
          <w:i/>
          <w:iCs/>
          <w:sz w:val="24"/>
          <w:szCs w:val="24"/>
          <w:lang w:val="en-US" w:eastAsia="en-US"/>
        </w:rPr>
        <w:t>Scandinavian Journal of Caring Sciences</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36</w:t>
      </w:r>
      <w:r w:rsidRPr="007D563A">
        <w:rPr>
          <w:rFonts w:ascii="Garamond" w:eastAsiaTheme="minorHAnsi" w:hAnsi="Garamond" w:cstheme="minorBidi"/>
          <w:sz w:val="24"/>
          <w:szCs w:val="24"/>
          <w:lang w:val="en-US" w:eastAsia="en-US"/>
        </w:rPr>
        <w:t>(4), 1083-1093.</w:t>
      </w:r>
    </w:p>
    <w:p w14:paraId="767A78DB"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Helaß</w:t>
      </w:r>
      <w:proofErr w:type="spellEnd"/>
      <w:r w:rsidRPr="007D563A">
        <w:rPr>
          <w:rFonts w:ascii="Garamond" w:eastAsiaTheme="minorHAnsi" w:hAnsi="Garamond" w:cstheme="minorBidi"/>
          <w:sz w:val="24"/>
          <w:szCs w:val="24"/>
          <w:lang w:val="en-US" w:eastAsia="en-US"/>
        </w:rPr>
        <w:t xml:space="preserve">, M., </w:t>
      </w:r>
      <w:proofErr w:type="spellStart"/>
      <w:r w:rsidRPr="007D563A">
        <w:rPr>
          <w:rFonts w:ascii="Garamond" w:eastAsiaTheme="minorHAnsi" w:hAnsi="Garamond" w:cstheme="minorBidi"/>
          <w:sz w:val="24"/>
          <w:szCs w:val="24"/>
          <w:lang w:val="en-US" w:eastAsia="en-US"/>
        </w:rPr>
        <w:t>Greinacher</w:t>
      </w:r>
      <w:proofErr w:type="spellEnd"/>
      <w:r w:rsidRPr="007D563A">
        <w:rPr>
          <w:rFonts w:ascii="Garamond" w:eastAsiaTheme="minorHAnsi" w:hAnsi="Garamond" w:cstheme="minorBidi"/>
          <w:sz w:val="24"/>
          <w:szCs w:val="24"/>
          <w:lang w:val="en-US" w:eastAsia="en-US"/>
        </w:rPr>
        <w:t xml:space="preserve">, A., Müller, A., Friederich, H. C., Maatouk, I., &amp; </w:t>
      </w:r>
      <w:proofErr w:type="spellStart"/>
      <w:r w:rsidRPr="007D563A">
        <w:rPr>
          <w:rFonts w:ascii="Garamond" w:eastAsiaTheme="minorHAnsi" w:hAnsi="Garamond" w:cstheme="minorBidi"/>
          <w:sz w:val="24"/>
          <w:szCs w:val="24"/>
          <w:lang w:val="en-US" w:eastAsia="en-US"/>
        </w:rPr>
        <w:t>Nikendei</w:t>
      </w:r>
      <w:proofErr w:type="spellEnd"/>
      <w:r w:rsidRPr="007D563A">
        <w:rPr>
          <w:rFonts w:ascii="Garamond" w:eastAsiaTheme="minorHAnsi" w:hAnsi="Garamond" w:cstheme="minorBidi"/>
          <w:sz w:val="24"/>
          <w:szCs w:val="24"/>
          <w:lang w:val="en-US" w:eastAsia="en-US"/>
        </w:rPr>
        <w:t>, C. (2024). The role of negative age stereotypes and sociodemographic factors in the intention to leave among German university hospital nursing staff. </w:t>
      </w:r>
      <w:r w:rsidRPr="007D563A">
        <w:rPr>
          <w:rFonts w:ascii="Garamond" w:eastAsiaTheme="minorHAnsi" w:hAnsi="Garamond" w:cstheme="minorBidi"/>
          <w:i/>
          <w:iCs/>
          <w:sz w:val="24"/>
          <w:szCs w:val="24"/>
          <w:lang w:val="en-US" w:eastAsia="en-US"/>
        </w:rPr>
        <w:t>INQUIRY: The Journal of Health Care Organization, Provision, and Financing</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61</w:t>
      </w:r>
      <w:r w:rsidRPr="007D563A">
        <w:rPr>
          <w:rFonts w:ascii="Garamond" w:eastAsiaTheme="minorHAnsi" w:hAnsi="Garamond" w:cstheme="minorBidi"/>
          <w:sz w:val="24"/>
          <w:szCs w:val="24"/>
          <w:lang w:val="en-US" w:eastAsia="en-US"/>
        </w:rPr>
        <w:t>, 00469580241277912.</w:t>
      </w:r>
    </w:p>
    <w:p w14:paraId="537B66EA"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Knight, R. L., </w:t>
      </w:r>
      <w:proofErr w:type="spellStart"/>
      <w:r w:rsidRPr="007D563A">
        <w:rPr>
          <w:rFonts w:ascii="Garamond" w:eastAsiaTheme="minorHAnsi" w:hAnsi="Garamond" w:cstheme="minorBidi"/>
          <w:sz w:val="24"/>
          <w:szCs w:val="24"/>
          <w:lang w:val="en-US" w:eastAsia="en-US"/>
        </w:rPr>
        <w:t>Chalabaev</w:t>
      </w:r>
      <w:proofErr w:type="spellEnd"/>
      <w:r w:rsidRPr="007D563A">
        <w:rPr>
          <w:rFonts w:ascii="Garamond" w:eastAsiaTheme="minorHAnsi" w:hAnsi="Garamond" w:cstheme="minorBidi"/>
          <w:sz w:val="24"/>
          <w:szCs w:val="24"/>
          <w:lang w:val="en-US" w:eastAsia="en-US"/>
        </w:rPr>
        <w:t>, A., McNarry, M. A., Mackintosh, K. A., &amp; Hudson, J. (2022). Do age stereotype</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based interventions affect health</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related outcomes in older adults? A systematic review and future directions. </w:t>
      </w:r>
      <w:r w:rsidRPr="007D563A">
        <w:rPr>
          <w:rFonts w:ascii="Garamond" w:eastAsiaTheme="minorHAnsi" w:hAnsi="Garamond" w:cstheme="minorBidi"/>
          <w:i/>
          <w:iCs/>
          <w:sz w:val="24"/>
          <w:szCs w:val="24"/>
          <w:lang w:val="en-US" w:eastAsia="en-US"/>
        </w:rPr>
        <w:t>British Journal of Health Psychology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27</w:t>
      </w:r>
      <w:r w:rsidRPr="007D563A">
        <w:rPr>
          <w:rFonts w:ascii="Garamond" w:eastAsiaTheme="minorHAnsi" w:hAnsi="Garamond" w:cstheme="minorBidi"/>
          <w:sz w:val="24"/>
          <w:szCs w:val="24"/>
          <w:lang w:val="en-US" w:eastAsia="en-US"/>
        </w:rPr>
        <w:t>(2), 338-373.</w:t>
      </w:r>
    </w:p>
    <w:p w14:paraId="4027F480"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Lampersberger</w:t>
      </w:r>
      <w:proofErr w:type="spellEnd"/>
      <w:r w:rsidRPr="007D563A">
        <w:rPr>
          <w:rFonts w:ascii="Garamond" w:eastAsiaTheme="minorHAnsi" w:hAnsi="Garamond" w:cstheme="minorBidi"/>
          <w:sz w:val="24"/>
          <w:szCs w:val="24"/>
          <w:lang w:val="en-US" w:eastAsia="en-US"/>
        </w:rPr>
        <w:t xml:space="preserve">, L. M., </w:t>
      </w:r>
      <w:proofErr w:type="spellStart"/>
      <w:r w:rsidRPr="007D563A">
        <w:rPr>
          <w:rFonts w:ascii="Garamond" w:eastAsiaTheme="minorHAnsi" w:hAnsi="Garamond" w:cstheme="minorBidi"/>
          <w:sz w:val="24"/>
          <w:szCs w:val="24"/>
          <w:lang w:val="en-US" w:eastAsia="en-US"/>
        </w:rPr>
        <w:t>Schüttengruber</w:t>
      </w:r>
      <w:proofErr w:type="spellEnd"/>
      <w:r w:rsidRPr="007D563A">
        <w:rPr>
          <w:rFonts w:ascii="Garamond" w:eastAsiaTheme="minorHAnsi" w:hAnsi="Garamond" w:cstheme="minorBidi"/>
          <w:sz w:val="24"/>
          <w:szCs w:val="24"/>
          <w:lang w:val="en-US" w:eastAsia="en-US"/>
        </w:rPr>
        <w:t xml:space="preserve">, G., Lohrmann, C., &amp; </w:t>
      </w:r>
      <w:proofErr w:type="spellStart"/>
      <w:r w:rsidRPr="007D563A">
        <w:rPr>
          <w:rFonts w:ascii="Garamond" w:eastAsiaTheme="minorHAnsi" w:hAnsi="Garamond" w:cstheme="minorBidi"/>
          <w:sz w:val="24"/>
          <w:szCs w:val="24"/>
          <w:lang w:val="en-US" w:eastAsia="en-US"/>
        </w:rPr>
        <w:t>Großschädl</w:t>
      </w:r>
      <w:proofErr w:type="spellEnd"/>
      <w:r w:rsidRPr="007D563A">
        <w:rPr>
          <w:rFonts w:ascii="Garamond" w:eastAsiaTheme="minorHAnsi" w:hAnsi="Garamond" w:cstheme="minorBidi"/>
          <w:sz w:val="24"/>
          <w:szCs w:val="24"/>
          <w:lang w:val="en-US" w:eastAsia="en-US"/>
        </w:rPr>
        <w:t>, F. (2023). Nurses' perspectives on caring for and attitudes towards adults aged eighty years and older. </w:t>
      </w:r>
      <w:r w:rsidRPr="007D563A">
        <w:rPr>
          <w:rFonts w:ascii="Garamond" w:eastAsiaTheme="minorHAnsi" w:hAnsi="Garamond" w:cstheme="minorBidi"/>
          <w:i/>
          <w:iCs/>
          <w:sz w:val="24"/>
          <w:szCs w:val="24"/>
          <w:lang w:val="en-US" w:eastAsia="en-US"/>
        </w:rPr>
        <w:t>Scandinavian Journal of Caring Sciences</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37</w:t>
      </w:r>
      <w:r w:rsidRPr="007D563A">
        <w:rPr>
          <w:rFonts w:ascii="Garamond" w:eastAsiaTheme="minorHAnsi" w:hAnsi="Garamond" w:cstheme="minorBidi"/>
          <w:sz w:val="24"/>
          <w:szCs w:val="24"/>
          <w:lang w:val="en-US" w:eastAsia="en-US"/>
        </w:rPr>
        <w:t>(2), 458-471.</w:t>
      </w:r>
    </w:p>
    <w:p w14:paraId="57DBB601"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Langmann, E. (2023). Vulnerability, ageism, and health: is it helpful to label older adults as a vulnerable group in health </w:t>
      </w:r>
      <w:proofErr w:type="gramStart"/>
      <w:r w:rsidRPr="007D563A">
        <w:rPr>
          <w:rFonts w:ascii="Garamond" w:eastAsiaTheme="minorHAnsi" w:hAnsi="Garamond" w:cstheme="minorBidi"/>
          <w:sz w:val="24"/>
          <w:szCs w:val="24"/>
          <w:lang w:val="en-US" w:eastAsia="en-US"/>
        </w:rPr>
        <w:t>care?.</w:t>
      </w:r>
      <w:proofErr w:type="gramEnd"/>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Medicine, Health Care and Philosophy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26</w:t>
      </w:r>
      <w:r w:rsidRPr="007D563A">
        <w:rPr>
          <w:rFonts w:ascii="Garamond" w:eastAsiaTheme="minorHAnsi" w:hAnsi="Garamond" w:cstheme="minorBidi"/>
          <w:sz w:val="24"/>
          <w:szCs w:val="24"/>
          <w:lang w:val="en-US" w:eastAsia="en-US"/>
        </w:rPr>
        <w:t>(1), 133-142.</w:t>
      </w:r>
    </w:p>
    <w:p w14:paraId="22E2269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Langmann, E., </w:t>
      </w:r>
      <w:proofErr w:type="spellStart"/>
      <w:r w:rsidRPr="007D563A">
        <w:rPr>
          <w:rFonts w:ascii="Garamond" w:eastAsiaTheme="minorHAnsi" w:hAnsi="Garamond" w:cstheme="minorBidi"/>
          <w:sz w:val="24"/>
          <w:szCs w:val="24"/>
          <w:lang w:val="en-US" w:eastAsia="en-US"/>
        </w:rPr>
        <w:t>Kainradl</w:t>
      </w:r>
      <w:proofErr w:type="spellEnd"/>
      <w:r w:rsidRPr="007D563A">
        <w:rPr>
          <w:rFonts w:ascii="Garamond" w:eastAsiaTheme="minorHAnsi" w:hAnsi="Garamond" w:cstheme="minorBidi"/>
          <w:sz w:val="24"/>
          <w:szCs w:val="24"/>
          <w:lang w:val="en-US" w:eastAsia="en-US"/>
        </w:rPr>
        <w:t xml:space="preserve">, A. C., </w:t>
      </w:r>
      <w:proofErr w:type="spellStart"/>
      <w:r w:rsidRPr="007D563A">
        <w:rPr>
          <w:rFonts w:ascii="Garamond" w:eastAsiaTheme="minorHAnsi" w:hAnsi="Garamond" w:cstheme="minorBidi"/>
          <w:sz w:val="24"/>
          <w:szCs w:val="24"/>
          <w:lang w:val="en-US" w:eastAsia="en-US"/>
        </w:rPr>
        <w:t>Weßel</w:t>
      </w:r>
      <w:proofErr w:type="spellEnd"/>
      <w:r w:rsidRPr="007D563A">
        <w:rPr>
          <w:rFonts w:ascii="Garamond" w:eastAsiaTheme="minorHAnsi" w:hAnsi="Garamond" w:cstheme="minorBidi"/>
          <w:sz w:val="24"/>
          <w:szCs w:val="24"/>
          <w:lang w:val="en-US" w:eastAsia="en-US"/>
        </w:rPr>
        <w:t xml:space="preserve">, M., &amp; </w:t>
      </w:r>
      <w:proofErr w:type="spellStart"/>
      <w:r w:rsidRPr="007D563A">
        <w:rPr>
          <w:rFonts w:ascii="Garamond" w:eastAsiaTheme="minorHAnsi" w:hAnsi="Garamond" w:cstheme="minorBidi"/>
          <w:sz w:val="24"/>
          <w:szCs w:val="24"/>
          <w:lang w:val="en-US" w:eastAsia="en-US"/>
        </w:rPr>
        <w:t>Rokvity</w:t>
      </w:r>
      <w:proofErr w:type="spellEnd"/>
      <w:r w:rsidRPr="007D563A">
        <w:rPr>
          <w:rFonts w:ascii="Garamond" w:eastAsiaTheme="minorHAnsi" w:hAnsi="Garamond" w:cstheme="minorBidi"/>
          <w:sz w:val="24"/>
          <w:szCs w:val="24"/>
          <w:lang w:val="en-US" w:eastAsia="en-US"/>
        </w:rPr>
        <w:t>, A. (2025). Endometriosis in later life: an intersectional analysis from the perspective of epistemic injustice. </w:t>
      </w:r>
      <w:r w:rsidRPr="007D563A">
        <w:rPr>
          <w:rFonts w:ascii="Garamond" w:eastAsiaTheme="minorHAnsi" w:hAnsi="Garamond" w:cstheme="minorBidi"/>
          <w:i/>
          <w:iCs/>
          <w:sz w:val="24"/>
          <w:szCs w:val="24"/>
          <w:lang w:val="en-US" w:eastAsia="en-US"/>
        </w:rPr>
        <w:t>Medicine, Health Care and Philosophy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28</w:t>
      </w:r>
      <w:r w:rsidRPr="007D563A">
        <w:rPr>
          <w:rFonts w:ascii="Garamond" w:eastAsiaTheme="minorHAnsi" w:hAnsi="Garamond" w:cstheme="minorBidi"/>
          <w:sz w:val="24"/>
          <w:szCs w:val="24"/>
          <w:lang w:val="en-US" w:eastAsia="en-US"/>
        </w:rPr>
        <w:t>(1), 151-159.</w:t>
      </w:r>
    </w:p>
    <w:p w14:paraId="58EF7414"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Levy, B. R. (2017). Age-stereotype paradox: Opportunity for social change. </w:t>
      </w:r>
      <w:r w:rsidRPr="007D563A">
        <w:rPr>
          <w:rFonts w:ascii="Garamond" w:eastAsiaTheme="minorHAnsi" w:hAnsi="Garamond" w:cstheme="minorBidi"/>
          <w:i/>
          <w:iCs/>
          <w:sz w:val="24"/>
          <w:szCs w:val="24"/>
          <w:lang w:val="en-US" w:eastAsia="en-US"/>
        </w:rPr>
        <w:t>The Journals of Gerontologist, 57</w:t>
      </w:r>
      <w:r w:rsidRPr="007D563A">
        <w:rPr>
          <w:rFonts w:ascii="Garamond" w:eastAsiaTheme="minorHAnsi" w:hAnsi="Garamond" w:cstheme="minorBidi"/>
          <w:sz w:val="24"/>
          <w:szCs w:val="24"/>
          <w:lang w:val="en-US" w:eastAsia="en-US"/>
        </w:rPr>
        <w:t>(Suppl. 2), S118–S126. https://doi.org/10.1093/geront/gnx059</w:t>
      </w:r>
    </w:p>
    <w:p w14:paraId="7544FB74"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Lloyd</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 xml:space="preserve">Sherlock, P., Guntupalli, A., &amp; </w:t>
      </w:r>
      <w:proofErr w:type="spellStart"/>
      <w:r w:rsidRPr="007D563A">
        <w:rPr>
          <w:rFonts w:ascii="Garamond" w:eastAsiaTheme="minorHAnsi" w:hAnsi="Garamond" w:cstheme="minorBidi"/>
          <w:sz w:val="24"/>
          <w:szCs w:val="24"/>
          <w:lang w:val="en-US" w:eastAsia="en-US"/>
        </w:rPr>
        <w:t>Sempé</w:t>
      </w:r>
      <w:proofErr w:type="spellEnd"/>
      <w:r w:rsidRPr="007D563A">
        <w:rPr>
          <w:rFonts w:ascii="Garamond" w:eastAsiaTheme="minorHAnsi" w:hAnsi="Garamond" w:cstheme="minorBidi"/>
          <w:sz w:val="24"/>
          <w:szCs w:val="24"/>
          <w:lang w:val="en-US" w:eastAsia="en-US"/>
        </w:rPr>
        <w:t>, L. (2022). Age discrimination, the right to life, and COVID</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19 vaccination in countries with limited resources. </w:t>
      </w:r>
      <w:r w:rsidRPr="007D563A">
        <w:rPr>
          <w:rFonts w:ascii="Garamond" w:eastAsiaTheme="minorHAnsi" w:hAnsi="Garamond" w:cstheme="minorBidi"/>
          <w:i/>
          <w:iCs/>
          <w:sz w:val="24"/>
          <w:szCs w:val="24"/>
          <w:lang w:val="en-US" w:eastAsia="en-US"/>
        </w:rPr>
        <w:t>Journal of Social Issues</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78</w:t>
      </w:r>
      <w:r w:rsidRPr="007D563A">
        <w:rPr>
          <w:rFonts w:ascii="Garamond" w:eastAsiaTheme="minorHAnsi" w:hAnsi="Garamond" w:cstheme="minorBidi"/>
          <w:sz w:val="24"/>
          <w:szCs w:val="24"/>
          <w:lang w:val="en-US" w:eastAsia="en-US"/>
        </w:rPr>
        <w:t>(4), 883-899.</w:t>
      </w:r>
    </w:p>
    <w:p w14:paraId="726F8953"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lastRenderedPageBreak/>
        <w:t>López-Frutos, P., Pérez-Rojo, G., Noriega, C., Velasco, C., Carretero, I., Martínez-Huertas, J. Á., Galarraga, L. &amp; López, J. (2022). Burnout and quality of life in professionals working in nursing homes: the moderating effect of stereotypes. </w:t>
      </w:r>
      <w:r w:rsidRPr="007D563A">
        <w:rPr>
          <w:rFonts w:ascii="Garamond" w:eastAsiaTheme="minorHAnsi" w:hAnsi="Garamond" w:cstheme="minorBidi"/>
          <w:i/>
          <w:iCs/>
          <w:sz w:val="24"/>
          <w:szCs w:val="24"/>
          <w:lang w:val="en-US" w:eastAsia="en-US"/>
        </w:rPr>
        <w:t>Frontiers in Psychology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13</w:t>
      </w:r>
      <w:r w:rsidRPr="007D563A">
        <w:rPr>
          <w:rFonts w:ascii="Garamond" w:eastAsiaTheme="minorHAnsi" w:hAnsi="Garamond" w:cstheme="minorBidi"/>
          <w:sz w:val="24"/>
          <w:szCs w:val="24"/>
          <w:lang w:val="en-US" w:eastAsia="en-US"/>
        </w:rPr>
        <w:t>, 772896.</w:t>
      </w:r>
    </w:p>
    <w:p w14:paraId="3BF41C7B"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Mannheim, I., Wouters, E. J., van Boekel, L. C., &amp; van </w:t>
      </w:r>
      <w:proofErr w:type="spellStart"/>
      <w:r w:rsidRPr="007D563A">
        <w:rPr>
          <w:rFonts w:ascii="Garamond" w:eastAsiaTheme="minorHAnsi" w:hAnsi="Garamond" w:cstheme="minorBidi"/>
          <w:sz w:val="24"/>
          <w:szCs w:val="24"/>
          <w:lang w:val="en-US" w:eastAsia="en-US"/>
        </w:rPr>
        <w:t>Zaalen</w:t>
      </w:r>
      <w:proofErr w:type="spellEnd"/>
      <w:r w:rsidRPr="007D563A">
        <w:rPr>
          <w:rFonts w:ascii="Garamond" w:eastAsiaTheme="minorHAnsi" w:hAnsi="Garamond" w:cstheme="minorBidi"/>
          <w:sz w:val="24"/>
          <w:szCs w:val="24"/>
          <w:lang w:val="en-US" w:eastAsia="en-US"/>
        </w:rPr>
        <w:t>, Y. (2021). Attitudes of health care professionals toward older adults’ abilities to use digital technology: Questionnaire study. </w:t>
      </w:r>
      <w:r w:rsidRPr="007D563A">
        <w:rPr>
          <w:rFonts w:ascii="Garamond" w:eastAsiaTheme="minorHAnsi" w:hAnsi="Garamond" w:cstheme="minorBidi"/>
          <w:i/>
          <w:iCs/>
          <w:sz w:val="24"/>
          <w:szCs w:val="24"/>
          <w:lang w:val="en-US" w:eastAsia="en-US"/>
        </w:rPr>
        <w:t>Journal of Medical Internet Research</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23</w:t>
      </w:r>
      <w:r w:rsidRPr="007D563A">
        <w:rPr>
          <w:rFonts w:ascii="Garamond" w:eastAsiaTheme="minorHAnsi" w:hAnsi="Garamond" w:cstheme="minorBidi"/>
          <w:sz w:val="24"/>
          <w:szCs w:val="24"/>
          <w:lang w:val="en-US" w:eastAsia="en-US"/>
        </w:rPr>
        <w:t>(4), e26232.</w:t>
      </w:r>
    </w:p>
    <w:p w14:paraId="1EF560BE"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Marques, S., Mariano, J., Mendonça, J., De Tavernier, W., Hess, M., Naegele, L., </w:t>
      </w:r>
      <w:proofErr w:type="spellStart"/>
      <w:r w:rsidRPr="007D563A">
        <w:rPr>
          <w:rFonts w:ascii="Garamond" w:eastAsiaTheme="minorHAnsi" w:hAnsi="Garamond" w:cstheme="minorBidi"/>
          <w:sz w:val="24"/>
          <w:szCs w:val="24"/>
          <w:lang w:val="en-US" w:eastAsia="en-US"/>
        </w:rPr>
        <w:t>Peixeiro</w:t>
      </w:r>
      <w:proofErr w:type="spellEnd"/>
      <w:r w:rsidRPr="007D563A">
        <w:rPr>
          <w:rFonts w:ascii="Garamond" w:eastAsiaTheme="minorHAnsi" w:hAnsi="Garamond" w:cstheme="minorBidi"/>
          <w:sz w:val="24"/>
          <w:szCs w:val="24"/>
          <w:lang w:val="en-US" w:eastAsia="en-US"/>
        </w:rPr>
        <w:t xml:space="preserve">, F., &amp; Martins, D. (2020). Determinants of ageism against older adults: A systematic review. </w:t>
      </w:r>
      <w:r w:rsidRPr="007D563A">
        <w:rPr>
          <w:rFonts w:ascii="Garamond" w:eastAsiaTheme="minorHAnsi" w:hAnsi="Garamond" w:cstheme="minorBidi"/>
          <w:i/>
          <w:iCs/>
          <w:sz w:val="24"/>
          <w:szCs w:val="24"/>
          <w:lang w:val="en-US" w:eastAsia="en-US"/>
        </w:rPr>
        <w:t>International Journal of Environmental Research and Public Health, 17</w:t>
      </w:r>
      <w:r w:rsidRPr="007D563A">
        <w:rPr>
          <w:rFonts w:ascii="Garamond" w:eastAsiaTheme="minorHAnsi" w:hAnsi="Garamond" w:cstheme="minorBidi"/>
          <w:sz w:val="24"/>
          <w:szCs w:val="24"/>
          <w:lang w:val="en-US" w:eastAsia="en-US"/>
        </w:rPr>
        <w:t>(7), 2560, 1–27. https://doi.org/10.3390/ijerph17072560</w:t>
      </w:r>
    </w:p>
    <w:p w14:paraId="468D2C7E"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Martínez-Angulo, P., Munoz-Mora, M., Rich-Ruiz, M., Ventura-</w:t>
      </w:r>
      <w:proofErr w:type="spellStart"/>
      <w:r w:rsidRPr="007D563A">
        <w:rPr>
          <w:rFonts w:ascii="Garamond" w:eastAsiaTheme="minorHAnsi" w:hAnsi="Garamond" w:cstheme="minorBidi"/>
          <w:sz w:val="24"/>
          <w:szCs w:val="24"/>
          <w:lang w:val="en-US" w:eastAsia="en-US"/>
        </w:rPr>
        <w:t>Puertos</w:t>
      </w:r>
      <w:proofErr w:type="spellEnd"/>
      <w:r w:rsidRPr="007D563A">
        <w:rPr>
          <w:rFonts w:ascii="Garamond" w:eastAsiaTheme="minorHAnsi" w:hAnsi="Garamond" w:cstheme="minorBidi"/>
          <w:sz w:val="24"/>
          <w:szCs w:val="24"/>
          <w:lang w:val="en-US" w:eastAsia="en-US"/>
        </w:rPr>
        <w:t xml:space="preserve">, P. E., </w:t>
      </w:r>
      <w:proofErr w:type="spellStart"/>
      <w:r w:rsidRPr="007D563A">
        <w:rPr>
          <w:rFonts w:ascii="Garamond" w:eastAsiaTheme="minorHAnsi" w:hAnsi="Garamond" w:cstheme="minorBidi"/>
          <w:sz w:val="24"/>
          <w:szCs w:val="24"/>
          <w:lang w:val="en-US" w:eastAsia="en-US"/>
        </w:rPr>
        <w:t>Cantón</w:t>
      </w:r>
      <w:proofErr w:type="spellEnd"/>
      <w:r w:rsidRPr="007D563A">
        <w:rPr>
          <w:rFonts w:ascii="Garamond" w:eastAsiaTheme="minorHAnsi" w:hAnsi="Garamond" w:cstheme="minorBidi"/>
          <w:sz w:val="24"/>
          <w:szCs w:val="24"/>
          <w:lang w:val="en-US" w:eastAsia="en-US"/>
        </w:rPr>
        <w:t>-Habas, V., &amp; López-Quero, S. (2023a). " With your age, what do you expect?": Ageism and healthcare of older adults in Spain. </w:t>
      </w:r>
      <w:r w:rsidRPr="007D563A">
        <w:rPr>
          <w:rFonts w:ascii="Garamond" w:eastAsiaTheme="minorHAnsi" w:hAnsi="Garamond" w:cstheme="minorBidi"/>
          <w:i/>
          <w:iCs/>
          <w:sz w:val="24"/>
          <w:szCs w:val="24"/>
          <w:lang w:val="en-US" w:eastAsia="en-US"/>
        </w:rPr>
        <w:t>Geriatric nursing</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51</w:t>
      </w:r>
      <w:r w:rsidRPr="007D563A">
        <w:rPr>
          <w:rFonts w:ascii="Garamond" w:eastAsiaTheme="minorHAnsi" w:hAnsi="Garamond" w:cstheme="minorBidi"/>
          <w:sz w:val="24"/>
          <w:szCs w:val="24"/>
          <w:lang w:val="en-US" w:eastAsia="en-US"/>
        </w:rPr>
        <w:t>, 84-94.</w:t>
      </w:r>
    </w:p>
    <w:p w14:paraId="30F0C4F3"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it-IT" w:eastAsia="en-US"/>
        </w:rPr>
      </w:pPr>
      <w:r w:rsidRPr="007D563A">
        <w:rPr>
          <w:rFonts w:ascii="Garamond" w:eastAsiaTheme="minorHAnsi" w:hAnsi="Garamond" w:cstheme="minorBidi"/>
          <w:sz w:val="24"/>
          <w:szCs w:val="24"/>
          <w:lang w:val="en-US" w:eastAsia="en-US"/>
        </w:rPr>
        <w:t>Martínez-Angulo, P., Rich-Ruiz, M., Ventura-</w:t>
      </w:r>
      <w:proofErr w:type="spellStart"/>
      <w:r w:rsidRPr="007D563A">
        <w:rPr>
          <w:rFonts w:ascii="Garamond" w:eastAsiaTheme="minorHAnsi" w:hAnsi="Garamond" w:cstheme="minorBidi"/>
          <w:sz w:val="24"/>
          <w:szCs w:val="24"/>
          <w:lang w:val="en-US" w:eastAsia="en-US"/>
        </w:rPr>
        <w:t>Puertos</w:t>
      </w:r>
      <w:proofErr w:type="spellEnd"/>
      <w:r w:rsidRPr="007D563A">
        <w:rPr>
          <w:rFonts w:ascii="Garamond" w:eastAsiaTheme="minorHAnsi" w:hAnsi="Garamond" w:cstheme="minorBidi"/>
          <w:sz w:val="24"/>
          <w:szCs w:val="24"/>
          <w:lang w:val="en-US" w:eastAsia="en-US"/>
        </w:rPr>
        <w:t>, P. E., &amp; López-Quero, S. (2023b). Integrating shared decision-making, expressing preferences and active participation of older adults in primary care nursing: a systematic review of qualitative studies and qualitative meta-synthesis. </w:t>
      </w:r>
      <w:r w:rsidRPr="007D563A">
        <w:rPr>
          <w:rFonts w:ascii="Garamond" w:eastAsiaTheme="minorHAnsi" w:hAnsi="Garamond" w:cstheme="minorBidi"/>
          <w:i/>
          <w:iCs/>
          <w:sz w:val="24"/>
          <w:szCs w:val="24"/>
          <w:lang w:val="it-IT" w:eastAsia="en-US"/>
        </w:rPr>
        <w:t>BMJ open</w:t>
      </w:r>
      <w:r w:rsidRPr="007D563A">
        <w:rPr>
          <w:rFonts w:ascii="Garamond" w:eastAsiaTheme="minorHAnsi" w:hAnsi="Garamond" w:cstheme="minorBidi"/>
          <w:sz w:val="24"/>
          <w:szCs w:val="24"/>
          <w:lang w:val="it-IT" w:eastAsia="en-US"/>
        </w:rPr>
        <w:t>, </w:t>
      </w:r>
      <w:r w:rsidRPr="007D563A">
        <w:rPr>
          <w:rFonts w:ascii="Garamond" w:eastAsiaTheme="minorHAnsi" w:hAnsi="Garamond" w:cstheme="minorBidi"/>
          <w:i/>
          <w:iCs/>
          <w:sz w:val="24"/>
          <w:szCs w:val="24"/>
          <w:lang w:val="it-IT" w:eastAsia="en-US"/>
        </w:rPr>
        <w:t>13</w:t>
      </w:r>
      <w:r w:rsidRPr="007D563A">
        <w:rPr>
          <w:rFonts w:ascii="Garamond" w:eastAsiaTheme="minorHAnsi" w:hAnsi="Garamond" w:cstheme="minorBidi"/>
          <w:sz w:val="24"/>
          <w:szCs w:val="24"/>
          <w:lang w:val="it-IT" w:eastAsia="en-US"/>
        </w:rPr>
        <w:t>(6), e071549.</w:t>
      </w:r>
    </w:p>
    <w:p w14:paraId="1FC07CB0"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it-IT" w:eastAsia="en-US"/>
        </w:rPr>
        <w:t xml:space="preserve">McDarby, M., </w:t>
      </w:r>
      <w:proofErr w:type="spellStart"/>
      <w:r w:rsidRPr="007D563A">
        <w:rPr>
          <w:rFonts w:ascii="Garamond" w:eastAsiaTheme="minorHAnsi" w:hAnsi="Garamond" w:cstheme="minorBidi"/>
          <w:sz w:val="24"/>
          <w:szCs w:val="24"/>
          <w:lang w:val="it-IT" w:eastAsia="en-US"/>
        </w:rPr>
        <w:t>Ju</w:t>
      </w:r>
      <w:proofErr w:type="spellEnd"/>
      <w:r w:rsidRPr="007D563A">
        <w:rPr>
          <w:rFonts w:ascii="Garamond" w:eastAsiaTheme="minorHAnsi" w:hAnsi="Garamond" w:cstheme="minorBidi"/>
          <w:sz w:val="24"/>
          <w:szCs w:val="24"/>
          <w:lang w:val="it-IT" w:eastAsia="en-US"/>
        </w:rPr>
        <w:t xml:space="preserve">, C. H., </w:t>
      </w:r>
      <w:proofErr w:type="spellStart"/>
      <w:r w:rsidRPr="007D563A">
        <w:rPr>
          <w:rFonts w:ascii="Garamond" w:eastAsiaTheme="minorHAnsi" w:hAnsi="Garamond" w:cstheme="minorBidi"/>
          <w:sz w:val="24"/>
          <w:szCs w:val="24"/>
          <w:lang w:val="it-IT" w:eastAsia="en-US"/>
        </w:rPr>
        <w:t>Picchiello</w:t>
      </w:r>
      <w:proofErr w:type="spellEnd"/>
      <w:r w:rsidRPr="007D563A">
        <w:rPr>
          <w:rFonts w:ascii="Garamond" w:eastAsiaTheme="minorHAnsi" w:hAnsi="Garamond" w:cstheme="minorBidi"/>
          <w:sz w:val="24"/>
          <w:szCs w:val="24"/>
          <w:lang w:val="it-IT" w:eastAsia="en-US"/>
        </w:rPr>
        <w:t xml:space="preserve">, M. C., &amp; Carpenter, B. D. (2022). </w:t>
      </w:r>
      <w:r w:rsidRPr="007D563A">
        <w:rPr>
          <w:rFonts w:ascii="Garamond" w:eastAsiaTheme="minorHAnsi" w:hAnsi="Garamond" w:cstheme="minorBidi"/>
          <w:sz w:val="24"/>
          <w:szCs w:val="24"/>
          <w:lang w:val="en-US" w:eastAsia="en-US"/>
        </w:rPr>
        <w:t xml:space="preserve">Older adults' perceptions and experiences of ageism during the COVID-19 pandemic. </w:t>
      </w:r>
      <w:r w:rsidRPr="007D563A">
        <w:rPr>
          <w:rFonts w:ascii="Garamond" w:eastAsiaTheme="minorHAnsi" w:hAnsi="Garamond" w:cstheme="minorBidi"/>
          <w:i/>
          <w:iCs/>
          <w:sz w:val="24"/>
          <w:szCs w:val="24"/>
          <w:lang w:val="en-US" w:eastAsia="en-US"/>
        </w:rPr>
        <w:t xml:space="preserve">The Journal of social issues, </w:t>
      </w:r>
      <w:r w:rsidRPr="007D563A">
        <w:rPr>
          <w:rFonts w:ascii="Garamond" w:eastAsiaTheme="minorHAnsi" w:hAnsi="Garamond" w:cstheme="minorBidi"/>
          <w:sz w:val="24"/>
          <w:szCs w:val="24"/>
          <w:lang w:val="en-US" w:eastAsia="en-US"/>
        </w:rPr>
        <w:t>10.1111/josi.12557. Advance online publication. https://doi.org/10.1111/josi.12557</w:t>
      </w:r>
    </w:p>
    <w:p w14:paraId="367C40AF"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McDonald, T. (2022). Lethal ageism in the shadow of pandemic response tactics. </w:t>
      </w:r>
      <w:r w:rsidRPr="007D563A">
        <w:rPr>
          <w:rFonts w:ascii="Garamond" w:eastAsiaTheme="minorHAnsi" w:hAnsi="Garamond" w:cstheme="minorBidi"/>
          <w:i/>
          <w:iCs/>
          <w:sz w:val="24"/>
          <w:szCs w:val="24"/>
          <w:lang w:val="en-US" w:eastAsia="en-US"/>
        </w:rPr>
        <w:t>International Nursing Review</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69</w:t>
      </w:r>
      <w:r w:rsidRPr="007D563A">
        <w:rPr>
          <w:rFonts w:ascii="Garamond" w:eastAsiaTheme="minorHAnsi" w:hAnsi="Garamond" w:cstheme="minorBidi"/>
          <w:sz w:val="24"/>
          <w:szCs w:val="24"/>
          <w:lang w:val="en-US" w:eastAsia="en-US"/>
        </w:rPr>
        <w:t>(2), 249-254.</w:t>
      </w:r>
    </w:p>
    <w:p w14:paraId="57CA3DC2"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fr-FR" w:eastAsia="en-US"/>
        </w:rPr>
      </w:pPr>
      <w:r w:rsidRPr="007D563A">
        <w:rPr>
          <w:rFonts w:ascii="Garamond" w:eastAsiaTheme="minorHAnsi" w:hAnsi="Garamond" w:cstheme="minorBidi"/>
          <w:sz w:val="24"/>
          <w:szCs w:val="24"/>
          <w:lang w:eastAsia="en-US"/>
        </w:rPr>
        <w:t xml:space="preserve">Mikton, C., de la Fuente-Núñez, V., Officer, A., &amp; Krug, E. (2021). </w:t>
      </w:r>
      <w:r w:rsidRPr="007D563A">
        <w:rPr>
          <w:rFonts w:ascii="Garamond" w:eastAsiaTheme="minorHAnsi" w:hAnsi="Garamond" w:cstheme="minorBidi"/>
          <w:sz w:val="24"/>
          <w:szCs w:val="24"/>
          <w:lang w:val="en-US" w:eastAsia="en-US"/>
        </w:rPr>
        <w:t xml:space="preserve">Ageism: a social determinant of health that has come of age. </w:t>
      </w:r>
      <w:r w:rsidRPr="007D563A">
        <w:rPr>
          <w:rFonts w:ascii="Garamond" w:eastAsiaTheme="minorHAnsi" w:hAnsi="Garamond" w:cstheme="minorBidi"/>
          <w:i/>
          <w:iCs/>
          <w:sz w:val="24"/>
          <w:szCs w:val="24"/>
          <w:lang w:val="fr-FR" w:eastAsia="en-US"/>
        </w:rPr>
        <w:t>Lancet</w:t>
      </w:r>
      <w:r w:rsidRPr="007D563A">
        <w:rPr>
          <w:rFonts w:ascii="Garamond" w:eastAsiaTheme="minorHAnsi" w:hAnsi="Garamond" w:cstheme="minorBidi"/>
          <w:sz w:val="24"/>
          <w:szCs w:val="24"/>
          <w:lang w:val="fr-FR" w:eastAsia="en-US"/>
        </w:rPr>
        <w:t xml:space="preserve"> (London, England), 397(10282), 1333–1334. https://doi.org/10.1016/S0140-6736(21)00524-9</w:t>
      </w:r>
    </w:p>
    <w:p w14:paraId="04B0208F"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fr-FR" w:eastAsia="en-US"/>
        </w:rPr>
        <w:t xml:space="preserve">Miralles, O., Sanchez-Rodriguez, D., Marco, E., </w:t>
      </w:r>
      <w:proofErr w:type="spellStart"/>
      <w:r w:rsidRPr="007D563A">
        <w:rPr>
          <w:rFonts w:ascii="Garamond" w:eastAsiaTheme="minorHAnsi" w:hAnsi="Garamond" w:cstheme="minorBidi"/>
          <w:sz w:val="24"/>
          <w:szCs w:val="24"/>
          <w:lang w:val="fr-FR" w:eastAsia="en-US"/>
        </w:rPr>
        <w:t>Annweiler</w:t>
      </w:r>
      <w:proofErr w:type="spellEnd"/>
      <w:r w:rsidRPr="007D563A">
        <w:rPr>
          <w:rFonts w:ascii="Garamond" w:eastAsiaTheme="minorHAnsi" w:hAnsi="Garamond" w:cstheme="minorBidi"/>
          <w:sz w:val="24"/>
          <w:szCs w:val="24"/>
          <w:lang w:val="fr-FR" w:eastAsia="en-US"/>
        </w:rPr>
        <w:t xml:space="preserve">, C., </w:t>
      </w:r>
      <w:proofErr w:type="spellStart"/>
      <w:r w:rsidRPr="007D563A">
        <w:rPr>
          <w:rFonts w:ascii="Garamond" w:eastAsiaTheme="minorHAnsi" w:hAnsi="Garamond" w:cstheme="minorBidi"/>
          <w:sz w:val="24"/>
          <w:szCs w:val="24"/>
          <w:lang w:val="fr-FR" w:eastAsia="en-US"/>
        </w:rPr>
        <w:t>Baztan</w:t>
      </w:r>
      <w:proofErr w:type="spellEnd"/>
      <w:r w:rsidRPr="007D563A">
        <w:rPr>
          <w:rFonts w:ascii="Garamond" w:eastAsiaTheme="minorHAnsi" w:hAnsi="Garamond" w:cstheme="minorBidi"/>
          <w:sz w:val="24"/>
          <w:szCs w:val="24"/>
          <w:lang w:val="fr-FR" w:eastAsia="en-US"/>
        </w:rPr>
        <w:t xml:space="preserve">, A., Betancor, É., ... </w:t>
      </w:r>
      <w:r w:rsidRPr="007D563A">
        <w:rPr>
          <w:rFonts w:ascii="Garamond" w:eastAsiaTheme="minorHAnsi" w:hAnsi="Garamond" w:cstheme="minorBidi"/>
          <w:sz w:val="24"/>
          <w:szCs w:val="24"/>
          <w:lang w:val="en-US" w:eastAsia="en-US"/>
        </w:rPr>
        <w:t>&amp; Vall-</w:t>
      </w:r>
      <w:proofErr w:type="spellStart"/>
      <w:r w:rsidRPr="007D563A">
        <w:rPr>
          <w:rFonts w:ascii="Garamond" w:eastAsiaTheme="minorHAnsi" w:hAnsi="Garamond" w:cstheme="minorBidi"/>
          <w:sz w:val="24"/>
          <w:szCs w:val="24"/>
          <w:lang w:val="en-US" w:eastAsia="en-US"/>
        </w:rPr>
        <w:t>Llosera</w:t>
      </w:r>
      <w:proofErr w:type="spellEnd"/>
      <w:r w:rsidRPr="007D563A">
        <w:rPr>
          <w:rFonts w:ascii="Garamond" w:eastAsiaTheme="minorHAnsi" w:hAnsi="Garamond" w:cstheme="minorBidi"/>
          <w:sz w:val="24"/>
          <w:szCs w:val="24"/>
          <w:lang w:val="en-US" w:eastAsia="en-US"/>
        </w:rPr>
        <w:t>, E. (2021). Unmet needs, health policies, and actions during the COVID-19 pandemic: a report from six European countries. </w:t>
      </w:r>
      <w:r w:rsidRPr="007D563A">
        <w:rPr>
          <w:rFonts w:ascii="Garamond" w:eastAsiaTheme="minorHAnsi" w:hAnsi="Garamond" w:cstheme="minorBidi"/>
          <w:i/>
          <w:iCs/>
          <w:sz w:val="24"/>
          <w:szCs w:val="24"/>
          <w:lang w:val="en-US" w:eastAsia="en-US"/>
        </w:rPr>
        <w:t>European geriatric medicine</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12</w:t>
      </w:r>
      <w:r w:rsidRPr="007D563A">
        <w:rPr>
          <w:rFonts w:ascii="Garamond" w:eastAsiaTheme="minorHAnsi" w:hAnsi="Garamond" w:cstheme="minorBidi"/>
          <w:sz w:val="24"/>
          <w:szCs w:val="24"/>
          <w:lang w:val="en-US" w:eastAsia="en-US"/>
        </w:rPr>
        <w:t>(1), 193-204.</w:t>
      </w:r>
    </w:p>
    <w:p w14:paraId="73DDC2B2"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Munn, Z., Peters, M. D., Stern, C., Tufanaru, C., McArthur, A., &amp; </w:t>
      </w:r>
      <w:proofErr w:type="spellStart"/>
      <w:r w:rsidRPr="007D563A">
        <w:rPr>
          <w:rFonts w:ascii="Garamond" w:eastAsiaTheme="minorHAnsi" w:hAnsi="Garamond" w:cstheme="minorBidi"/>
          <w:sz w:val="24"/>
          <w:szCs w:val="24"/>
          <w:lang w:val="en-US" w:eastAsia="en-US"/>
        </w:rPr>
        <w:t>Aromataris</w:t>
      </w:r>
      <w:proofErr w:type="spellEnd"/>
      <w:r w:rsidRPr="007D563A">
        <w:rPr>
          <w:rFonts w:ascii="Garamond" w:eastAsiaTheme="minorHAnsi" w:hAnsi="Garamond" w:cstheme="minorBidi"/>
          <w:sz w:val="24"/>
          <w:szCs w:val="24"/>
          <w:lang w:val="en-US" w:eastAsia="en-US"/>
        </w:rPr>
        <w:t>, E. (2018). Systematic review or scoping review? Guidance for authors when choosing between a systematic or scoping review approach. </w:t>
      </w:r>
      <w:r w:rsidRPr="007D563A">
        <w:rPr>
          <w:rFonts w:ascii="Garamond" w:eastAsiaTheme="minorHAnsi" w:hAnsi="Garamond" w:cstheme="minorBidi"/>
          <w:i/>
          <w:iCs/>
          <w:sz w:val="24"/>
          <w:szCs w:val="24"/>
          <w:lang w:val="en-US" w:eastAsia="en-US"/>
        </w:rPr>
        <w:t>BMC medical research methodology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18</w:t>
      </w:r>
      <w:r w:rsidRPr="007D563A">
        <w:rPr>
          <w:rFonts w:ascii="Garamond" w:eastAsiaTheme="minorHAnsi" w:hAnsi="Garamond" w:cstheme="minorBidi"/>
          <w:sz w:val="24"/>
          <w:szCs w:val="24"/>
          <w:lang w:val="en-US" w:eastAsia="en-US"/>
        </w:rPr>
        <w:t>(1), 143.</w:t>
      </w:r>
    </w:p>
    <w:p w14:paraId="1D832213"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Naughton-Doe, R., Barke, J., Manchester, H., Willis, P., &amp; Wigfield, A. (2024). Ethical issues when interviewing older people about loneliness: reflections and recommendations for an effective methodological approach. </w:t>
      </w:r>
      <w:r w:rsidRPr="007D563A">
        <w:rPr>
          <w:rFonts w:ascii="Garamond" w:eastAsiaTheme="minorHAnsi" w:hAnsi="Garamond" w:cstheme="minorBidi"/>
          <w:i/>
          <w:iCs/>
          <w:sz w:val="24"/>
          <w:szCs w:val="24"/>
          <w:lang w:val="en-US" w:eastAsia="en-US"/>
        </w:rPr>
        <w:t>Ageing &amp; Society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44</w:t>
      </w:r>
      <w:r w:rsidRPr="007D563A">
        <w:rPr>
          <w:rFonts w:ascii="Garamond" w:eastAsiaTheme="minorHAnsi" w:hAnsi="Garamond" w:cstheme="minorBidi"/>
          <w:sz w:val="24"/>
          <w:szCs w:val="24"/>
          <w:lang w:val="en-US" w:eastAsia="en-US"/>
        </w:rPr>
        <w:t>(7), 1681-1699.</w:t>
      </w:r>
    </w:p>
    <w:p w14:paraId="4ABEECAC"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Nitschke, I., Gegner, U., </w:t>
      </w:r>
      <w:proofErr w:type="spellStart"/>
      <w:r w:rsidRPr="007D563A">
        <w:rPr>
          <w:rFonts w:ascii="Garamond" w:eastAsiaTheme="minorHAnsi" w:hAnsi="Garamond" w:cstheme="minorBidi"/>
          <w:sz w:val="24"/>
          <w:szCs w:val="24"/>
          <w:lang w:val="en-US" w:eastAsia="en-US"/>
        </w:rPr>
        <w:t>Hopfenmüller</w:t>
      </w:r>
      <w:proofErr w:type="spellEnd"/>
      <w:r w:rsidRPr="007D563A">
        <w:rPr>
          <w:rFonts w:ascii="Garamond" w:eastAsiaTheme="minorHAnsi" w:hAnsi="Garamond" w:cstheme="minorBidi"/>
          <w:sz w:val="24"/>
          <w:szCs w:val="24"/>
          <w:lang w:val="en-US" w:eastAsia="en-US"/>
        </w:rPr>
        <w:t xml:space="preserve">, W., Sobotta, B. A., &amp; Jockusch, J. (2022). Student perceptions of age and ageing—an evaluation of Swiss dental students receiving education in </w:t>
      </w:r>
      <w:proofErr w:type="spellStart"/>
      <w:r w:rsidRPr="007D563A">
        <w:rPr>
          <w:rFonts w:ascii="Garamond" w:eastAsiaTheme="minorHAnsi" w:hAnsi="Garamond" w:cstheme="minorBidi"/>
          <w:sz w:val="24"/>
          <w:szCs w:val="24"/>
          <w:lang w:val="en-US" w:eastAsia="en-US"/>
        </w:rPr>
        <w:t>gerodontology</w:t>
      </w:r>
      <w:proofErr w:type="spellEnd"/>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International Journal of Environmental Research and Public Health</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19</w:t>
      </w:r>
      <w:r w:rsidRPr="007D563A">
        <w:rPr>
          <w:rFonts w:ascii="Garamond" w:eastAsiaTheme="minorHAnsi" w:hAnsi="Garamond" w:cstheme="minorBidi"/>
          <w:sz w:val="24"/>
          <w:szCs w:val="24"/>
          <w:lang w:val="en-US" w:eastAsia="en-US"/>
        </w:rPr>
        <w:t>(12), 7480.</w:t>
      </w:r>
    </w:p>
    <w:p w14:paraId="198A5E0D"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Nitschke, I., Hahnel, S., &amp; Jockusch, J. (2021). Health-related social and ethical considerations towards the utilization of dental medical services by seniors: influencing and protective factors, vulnerability, resilience and sense of coherence. </w:t>
      </w:r>
      <w:r w:rsidRPr="007D563A">
        <w:rPr>
          <w:rFonts w:ascii="Garamond" w:eastAsiaTheme="minorHAnsi" w:hAnsi="Garamond" w:cstheme="minorBidi"/>
          <w:i/>
          <w:iCs/>
          <w:sz w:val="24"/>
          <w:szCs w:val="24"/>
          <w:lang w:val="en-US" w:eastAsia="en-US"/>
        </w:rPr>
        <w:t>International journal of environmental research and public health</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18</w:t>
      </w:r>
      <w:r w:rsidRPr="007D563A">
        <w:rPr>
          <w:rFonts w:ascii="Garamond" w:eastAsiaTheme="minorHAnsi" w:hAnsi="Garamond" w:cstheme="minorBidi"/>
          <w:sz w:val="24"/>
          <w:szCs w:val="24"/>
          <w:lang w:val="en-US" w:eastAsia="en-US"/>
        </w:rPr>
        <w:t>(4), 2048.</w:t>
      </w:r>
    </w:p>
    <w:p w14:paraId="6C46CAD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Özdil, K., Öztürk, G. K., </w:t>
      </w:r>
      <w:proofErr w:type="spellStart"/>
      <w:r w:rsidRPr="007D563A">
        <w:rPr>
          <w:rFonts w:ascii="Garamond" w:eastAsiaTheme="minorHAnsi" w:hAnsi="Garamond" w:cstheme="minorBidi"/>
          <w:sz w:val="24"/>
          <w:szCs w:val="24"/>
          <w:lang w:val="en-US" w:eastAsia="en-US"/>
        </w:rPr>
        <w:t>Çatıker</w:t>
      </w:r>
      <w:proofErr w:type="spellEnd"/>
      <w:r w:rsidRPr="007D563A">
        <w:rPr>
          <w:rFonts w:ascii="Garamond" w:eastAsiaTheme="minorHAnsi" w:hAnsi="Garamond" w:cstheme="minorBidi"/>
          <w:sz w:val="24"/>
          <w:szCs w:val="24"/>
          <w:lang w:val="en-US" w:eastAsia="en-US"/>
        </w:rPr>
        <w:t xml:space="preserve">, A., &amp; </w:t>
      </w:r>
      <w:proofErr w:type="spellStart"/>
      <w:r w:rsidRPr="007D563A">
        <w:rPr>
          <w:rFonts w:ascii="Garamond" w:eastAsiaTheme="minorHAnsi" w:hAnsi="Garamond" w:cstheme="minorBidi"/>
          <w:sz w:val="24"/>
          <w:szCs w:val="24"/>
          <w:lang w:val="en-US" w:eastAsia="en-US"/>
        </w:rPr>
        <w:t>Büyüksoy</w:t>
      </w:r>
      <w:proofErr w:type="spellEnd"/>
      <w:r w:rsidRPr="007D563A">
        <w:rPr>
          <w:rFonts w:ascii="Garamond" w:eastAsiaTheme="minorHAnsi" w:hAnsi="Garamond" w:cstheme="minorBidi"/>
          <w:sz w:val="24"/>
          <w:szCs w:val="24"/>
          <w:lang w:val="en-US" w:eastAsia="en-US"/>
        </w:rPr>
        <w:t>, G. D. B. (2021). Views of senior nursing students on the problems of the elderly during the COVID-19 process and attitudes against ageism. </w:t>
      </w:r>
      <w:proofErr w:type="spellStart"/>
      <w:r w:rsidRPr="007D563A">
        <w:rPr>
          <w:rFonts w:ascii="Garamond" w:eastAsiaTheme="minorHAnsi" w:hAnsi="Garamond" w:cstheme="minorBidi"/>
          <w:i/>
          <w:iCs/>
          <w:sz w:val="24"/>
          <w:szCs w:val="24"/>
          <w:lang w:val="en-US" w:eastAsia="en-US"/>
        </w:rPr>
        <w:t>Dokuz</w:t>
      </w:r>
      <w:proofErr w:type="spellEnd"/>
      <w:r w:rsidRPr="007D563A">
        <w:rPr>
          <w:rFonts w:ascii="Garamond" w:eastAsiaTheme="minorHAnsi" w:hAnsi="Garamond" w:cstheme="minorBidi"/>
          <w:i/>
          <w:iCs/>
          <w:sz w:val="24"/>
          <w:szCs w:val="24"/>
          <w:lang w:val="en-US" w:eastAsia="en-US"/>
        </w:rPr>
        <w:t xml:space="preserve"> Eylül </w:t>
      </w:r>
      <w:proofErr w:type="spellStart"/>
      <w:r w:rsidRPr="007D563A">
        <w:rPr>
          <w:rFonts w:ascii="Garamond" w:eastAsiaTheme="minorHAnsi" w:hAnsi="Garamond" w:cstheme="minorBidi"/>
          <w:i/>
          <w:iCs/>
          <w:sz w:val="24"/>
          <w:szCs w:val="24"/>
          <w:lang w:val="en-US" w:eastAsia="en-US"/>
        </w:rPr>
        <w:t>Üniversitesi</w:t>
      </w:r>
      <w:proofErr w:type="spellEnd"/>
      <w:r w:rsidRPr="007D563A">
        <w:rPr>
          <w:rFonts w:ascii="Garamond" w:eastAsiaTheme="minorHAnsi" w:hAnsi="Garamond" w:cstheme="minorBidi"/>
          <w:i/>
          <w:iCs/>
          <w:sz w:val="24"/>
          <w:szCs w:val="24"/>
          <w:lang w:val="en-US" w:eastAsia="en-US"/>
        </w:rPr>
        <w:t xml:space="preserve"> </w:t>
      </w:r>
      <w:proofErr w:type="spellStart"/>
      <w:r w:rsidRPr="007D563A">
        <w:rPr>
          <w:rFonts w:ascii="Garamond" w:eastAsiaTheme="minorHAnsi" w:hAnsi="Garamond" w:cstheme="minorBidi"/>
          <w:i/>
          <w:iCs/>
          <w:sz w:val="24"/>
          <w:szCs w:val="24"/>
          <w:lang w:val="en-US" w:eastAsia="en-US"/>
        </w:rPr>
        <w:t>Hemşirelik</w:t>
      </w:r>
      <w:proofErr w:type="spellEnd"/>
      <w:r w:rsidRPr="007D563A">
        <w:rPr>
          <w:rFonts w:ascii="Garamond" w:eastAsiaTheme="minorHAnsi" w:hAnsi="Garamond" w:cstheme="minorBidi"/>
          <w:i/>
          <w:iCs/>
          <w:sz w:val="24"/>
          <w:szCs w:val="24"/>
          <w:lang w:val="en-US" w:eastAsia="en-US"/>
        </w:rPr>
        <w:t xml:space="preserve"> Fakültesi Elektronik Dergisi</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14</w:t>
      </w:r>
      <w:r w:rsidRPr="007D563A">
        <w:rPr>
          <w:rFonts w:ascii="Garamond" w:eastAsiaTheme="minorHAnsi" w:hAnsi="Garamond" w:cstheme="minorBidi"/>
          <w:sz w:val="24"/>
          <w:szCs w:val="24"/>
          <w:lang w:val="en-US" w:eastAsia="en-US"/>
        </w:rPr>
        <w:t>(4), 357-369.</w:t>
      </w:r>
    </w:p>
    <w:p w14:paraId="72E0D486"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Paar, E., De Lai, E., </w:t>
      </w:r>
      <w:proofErr w:type="spellStart"/>
      <w:r w:rsidRPr="007D563A">
        <w:rPr>
          <w:rFonts w:ascii="Garamond" w:eastAsiaTheme="minorHAnsi" w:hAnsi="Garamond" w:cstheme="minorBidi"/>
          <w:sz w:val="24"/>
          <w:szCs w:val="24"/>
          <w:lang w:val="en-US" w:eastAsia="en-US"/>
        </w:rPr>
        <w:t>Držaić</w:t>
      </w:r>
      <w:proofErr w:type="spellEnd"/>
      <w:r w:rsidRPr="007D563A">
        <w:rPr>
          <w:rFonts w:ascii="Garamond" w:eastAsiaTheme="minorHAnsi" w:hAnsi="Garamond" w:cstheme="minorBidi"/>
          <w:sz w:val="24"/>
          <w:szCs w:val="24"/>
          <w:lang w:val="en-US" w:eastAsia="en-US"/>
        </w:rPr>
        <w:t xml:space="preserve">, M., Kummer, I., </w:t>
      </w:r>
      <w:proofErr w:type="spellStart"/>
      <w:r w:rsidRPr="007D563A">
        <w:rPr>
          <w:rFonts w:ascii="Garamond" w:eastAsiaTheme="minorHAnsi" w:hAnsi="Garamond" w:cstheme="minorBidi"/>
          <w:sz w:val="24"/>
          <w:szCs w:val="24"/>
          <w:lang w:val="en-US" w:eastAsia="en-US"/>
        </w:rPr>
        <w:t>Bužančić</w:t>
      </w:r>
      <w:proofErr w:type="spellEnd"/>
      <w:r w:rsidRPr="007D563A">
        <w:rPr>
          <w:rFonts w:ascii="Garamond" w:eastAsiaTheme="minorHAnsi" w:hAnsi="Garamond" w:cstheme="minorBidi"/>
          <w:sz w:val="24"/>
          <w:szCs w:val="24"/>
          <w:lang w:val="en-US" w:eastAsia="en-US"/>
        </w:rPr>
        <w:t xml:space="preserve">, I., Ortner Hadžiabdić, M., ... &amp; Fialová, D. (2024). Fall risk-increasing drugs and associated health outcomes among community-dwelling older patients: A cross-sectional study in Croatian cohort of the </w:t>
      </w:r>
      <w:proofErr w:type="spellStart"/>
      <w:r w:rsidRPr="007D563A">
        <w:rPr>
          <w:rFonts w:ascii="Garamond" w:eastAsiaTheme="minorHAnsi" w:hAnsi="Garamond" w:cstheme="minorBidi"/>
          <w:sz w:val="24"/>
          <w:szCs w:val="24"/>
          <w:lang w:val="en-US" w:eastAsia="en-US"/>
        </w:rPr>
        <w:t>EuroAgeism</w:t>
      </w:r>
      <w:proofErr w:type="spellEnd"/>
      <w:r w:rsidRPr="007D563A">
        <w:rPr>
          <w:rFonts w:ascii="Garamond" w:eastAsiaTheme="minorHAnsi" w:hAnsi="Garamond" w:cstheme="minorBidi"/>
          <w:sz w:val="24"/>
          <w:szCs w:val="24"/>
          <w:lang w:val="en-US" w:eastAsia="en-US"/>
        </w:rPr>
        <w:t xml:space="preserve"> H2020 project. </w:t>
      </w:r>
      <w:r w:rsidRPr="007D563A">
        <w:rPr>
          <w:rFonts w:ascii="Garamond" w:eastAsiaTheme="minorHAnsi" w:hAnsi="Garamond" w:cstheme="minorBidi"/>
          <w:i/>
          <w:iCs/>
          <w:sz w:val="24"/>
          <w:szCs w:val="24"/>
          <w:lang w:val="en-US" w:eastAsia="en-US"/>
        </w:rPr>
        <w:t xml:space="preserve">Acta </w:t>
      </w:r>
      <w:proofErr w:type="spellStart"/>
      <w:r w:rsidRPr="007D563A">
        <w:rPr>
          <w:rFonts w:ascii="Garamond" w:eastAsiaTheme="minorHAnsi" w:hAnsi="Garamond" w:cstheme="minorBidi"/>
          <w:i/>
          <w:iCs/>
          <w:sz w:val="24"/>
          <w:szCs w:val="24"/>
          <w:lang w:val="en-US" w:eastAsia="en-US"/>
        </w:rPr>
        <w:t>pharmaceutica</w:t>
      </w:r>
      <w:proofErr w:type="spellEnd"/>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74</w:t>
      </w:r>
      <w:r w:rsidRPr="007D563A">
        <w:rPr>
          <w:rFonts w:ascii="Garamond" w:eastAsiaTheme="minorHAnsi" w:hAnsi="Garamond" w:cstheme="minorBidi"/>
          <w:sz w:val="24"/>
          <w:szCs w:val="24"/>
          <w:lang w:val="en-US" w:eastAsia="en-US"/>
        </w:rPr>
        <w:t>(4 (Special issue)), 635-653.</w:t>
      </w:r>
    </w:p>
    <w:p w14:paraId="364615E3"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lastRenderedPageBreak/>
        <w:t xml:space="preserve">Paoletti, I. (2024). Ageism: The Need for New Imagery for Growing Old. In Paoletti, I. (eds) </w:t>
      </w:r>
      <w:r w:rsidRPr="007D563A">
        <w:rPr>
          <w:rFonts w:ascii="Garamond" w:eastAsiaTheme="minorHAnsi" w:hAnsi="Garamond" w:cstheme="minorBidi"/>
          <w:i/>
          <w:iCs/>
          <w:sz w:val="24"/>
          <w:szCs w:val="24"/>
          <w:lang w:val="en-US" w:eastAsia="en-US"/>
        </w:rPr>
        <w:t xml:space="preserve">Creating New Meanings </w:t>
      </w:r>
      <w:proofErr w:type="gramStart"/>
      <w:r w:rsidRPr="007D563A">
        <w:rPr>
          <w:rFonts w:ascii="Garamond" w:eastAsiaTheme="minorHAnsi" w:hAnsi="Garamond" w:cstheme="minorBidi"/>
          <w:i/>
          <w:iCs/>
          <w:sz w:val="24"/>
          <w:szCs w:val="24"/>
          <w:lang w:val="en-US" w:eastAsia="en-US"/>
        </w:rPr>
        <w:t>For</w:t>
      </w:r>
      <w:proofErr w:type="gramEnd"/>
      <w:r w:rsidRPr="007D563A">
        <w:rPr>
          <w:rFonts w:ascii="Garamond" w:eastAsiaTheme="minorHAnsi" w:hAnsi="Garamond" w:cstheme="minorBidi"/>
          <w:i/>
          <w:iCs/>
          <w:sz w:val="24"/>
          <w:szCs w:val="24"/>
          <w:lang w:val="en-US" w:eastAsia="en-US"/>
        </w:rPr>
        <w:t xml:space="preserve"> Old Age</w:t>
      </w:r>
      <w:r w:rsidRPr="007D563A">
        <w:rPr>
          <w:rFonts w:ascii="Garamond" w:eastAsiaTheme="minorHAnsi" w:hAnsi="Garamond" w:cstheme="minorBidi"/>
          <w:sz w:val="24"/>
          <w:szCs w:val="24"/>
          <w:lang w:val="en-US" w:eastAsia="en-US"/>
        </w:rPr>
        <w:t>, pp. 35–62. Palgrave Macmillan, Singapore. https://doi.org/10.1007/978-981-97-5041-2_2</w:t>
      </w:r>
    </w:p>
    <w:p w14:paraId="39C26D06"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Pearson, G. M., Dowling, S., Ben-Shlomo, Y., &amp; Henderson, E. J. (2025). Inspiring tomorrow’s geriatricians: a qualitative exploration of the facilitators and barriers to medical students choosing geriatric medicine. </w:t>
      </w:r>
      <w:r w:rsidRPr="007D563A">
        <w:rPr>
          <w:rFonts w:ascii="Garamond" w:eastAsiaTheme="minorHAnsi" w:hAnsi="Garamond" w:cstheme="minorBidi"/>
          <w:i/>
          <w:iCs/>
          <w:sz w:val="24"/>
          <w:szCs w:val="24"/>
          <w:lang w:val="en-US" w:eastAsia="en-US"/>
        </w:rPr>
        <w:t>Gerontology &amp; Geriatrics Education</w:t>
      </w:r>
      <w:r w:rsidRPr="007D563A">
        <w:rPr>
          <w:rFonts w:ascii="Garamond" w:eastAsiaTheme="minorHAnsi" w:hAnsi="Garamond" w:cstheme="minorBidi"/>
          <w:sz w:val="24"/>
          <w:szCs w:val="24"/>
          <w:lang w:val="en-US" w:eastAsia="en-US"/>
        </w:rPr>
        <w:t>, 1-15.</w:t>
      </w:r>
    </w:p>
    <w:p w14:paraId="72DD448F"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Peterson, J., Pearce, P. F., Ferguson, L. A., &amp; Langford, C. A. (2017). Understanding scoping reviews: Definition, purpose, and process. </w:t>
      </w:r>
      <w:r w:rsidRPr="007D563A">
        <w:rPr>
          <w:rFonts w:ascii="Garamond" w:eastAsiaTheme="minorHAnsi" w:hAnsi="Garamond" w:cstheme="minorBidi"/>
          <w:i/>
          <w:iCs/>
          <w:sz w:val="24"/>
          <w:szCs w:val="24"/>
          <w:lang w:val="en-US" w:eastAsia="en-US"/>
        </w:rPr>
        <w:t>Journal of the American Association of Nurse Practitioners</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29</w:t>
      </w:r>
      <w:r w:rsidRPr="007D563A">
        <w:rPr>
          <w:rFonts w:ascii="Garamond" w:eastAsiaTheme="minorHAnsi" w:hAnsi="Garamond" w:cstheme="minorBidi"/>
          <w:sz w:val="24"/>
          <w:szCs w:val="24"/>
          <w:lang w:val="en-US" w:eastAsia="en-US"/>
        </w:rPr>
        <w:t>(1), 12-16.</w:t>
      </w:r>
    </w:p>
    <w:p w14:paraId="2D9C29CC"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Pham, M. T., Rajić, A., Greig, J. D., Sargeant, J. M., Papadopoulos, A., &amp; McEwen, S. A. (2014). A scoping review of scoping reviews: advancing the approach and enhancing the consistency. </w:t>
      </w:r>
      <w:r w:rsidRPr="007D563A">
        <w:rPr>
          <w:rFonts w:ascii="Garamond" w:eastAsiaTheme="minorHAnsi" w:hAnsi="Garamond" w:cstheme="minorBidi"/>
          <w:i/>
          <w:iCs/>
          <w:sz w:val="24"/>
          <w:szCs w:val="24"/>
          <w:lang w:val="en-US" w:eastAsia="en-US"/>
        </w:rPr>
        <w:t>Research synthesis methods</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5</w:t>
      </w:r>
      <w:r w:rsidRPr="007D563A">
        <w:rPr>
          <w:rFonts w:ascii="Garamond" w:eastAsiaTheme="minorHAnsi" w:hAnsi="Garamond" w:cstheme="minorBidi"/>
          <w:sz w:val="24"/>
          <w:szCs w:val="24"/>
          <w:lang w:val="en-US" w:eastAsia="en-US"/>
        </w:rPr>
        <w:t>(4), 371-385.</w:t>
      </w:r>
    </w:p>
    <w:p w14:paraId="5AFC36B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Piaton</w:t>
      </w:r>
      <w:proofErr w:type="spellEnd"/>
      <w:r w:rsidRPr="007D563A">
        <w:rPr>
          <w:rFonts w:ascii="Garamond" w:eastAsiaTheme="minorHAnsi" w:hAnsi="Garamond" w:cstheme="minorBidi"/>
          <w:sz w:val="24"/>
          <w:szCs w:val="24"/>
          <w:lang w:val="en-US" w:eastAsia="en-US"/>
        </w:rPr>
        <w:t>, S., Adam, S., Roger-Leroi, V., &amp; Vallet, G. T. (2024). Implicit ageism in dental students: general representations of ageing health and specific representations of the mouth. </w:t>
      </w:r>
      <w:r w:rsidRPr="007D563A">
        <w:rPr>
          <w:rFonts w:ascii="Garamond" w:eastAsiaTheme="minorHAnsi" w:hAnsi="Garamond" w:cstheme="minorBidi"/>
          <w:i/>
          <w:iCs/>
          <w:sz w:val="24"/>
          <w:szCs w:val="24"/>
          <w:lang w:val="en-US" w:eastAsia="en-US"/>
        </w:rPr>
        <w:t>Educational Gerontology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50</w:t>
      </w:r>
      <w:r w:rsidRPr="007D563A">
        <w:rPr>
          <w:rFonts w:ascii="Garamond" w:eastAsiaTheme="minorHAnsi" w:hAnsi="Garamond" w:cstheme="minorBidi"/>
          <w:sz w:val="24"/>
          <w:szCs w:val="24"/>
          <w:lang w:val="en-US" w:eastAsia="en-US"/>
        </w:rPr>
        <w:t>(7), 659-670.</w:t>
      </w:r>
    </w:p>
    <w:p w14:paraId="18CC3937"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Piaton</w:t>
      </w:r>
      <w:proofErr w:type="spellEnd"/>
      <w:r w:rsidRPr="007D563A">
        <w:rPr>
          <w:rFonts w:ascii="Garamond" w:eastAsiaTheme="minorHAnsi" w:hAnsi="Garamond" w:cstheme="minorBidi"/>
          <w:sz w:val="24"/>
          <w:szCs w:val="24"/>
          <w:lang w:val="en-US" w:eastAsia="en-US"/>
        </w:rPr>
        <w:t>, S., Roger-Leroi, V., Vallet, G. (2023). Specific form of ageism in dental care: Convergent validity of the Ageism Scale for Dental Students and its implications for education. </w:t>
      </w:r>
      <w:r w:rsidRPr="007D563A">
        <w:rPr>
          <w:rFonts w:ascii="Garamond" w:eastAsiaTheme="minorHAnsi" w:hAnsi="Garamond" w:cstheme="minorBidi"/>
          <w:i/>
          <w:iCs/>
          <w:sz w:val="24"/>
          <w:szCs w:val="24"/>
          <w:lang w:val="en-US" w:eastAsia="en-US"/>
        </w:rPr>
        <w:t>European Journal of Dental Education</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27</w:t>
      </w:r>
      <w:r w:rsidRPr="007D563A">
        <w:rPr>
          <w:rFonts w:ascii="Garamond" w:eastAsiaTheme="minorHAnsi" w:hAnsi="Garamond" w:cstheme="minorBidi"/>
          <w:sz w:val="24"/>
          <w:szCs w:val="24"/>
          <w:lang w:val="en-US" w:eastAsia="en-US"/>
        </w:rPr>
        <w:t>(2), 368-373.</w:t>
      </w:r>
    </w:p>
    <w:p w14:paraId="6DBBBCEF"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Pinho, M., &amp; Araújo, A. (2022). How to fairly allocate scarce medical resources? Controversial preferences of healthcare professionals with different personal characteristics. </w:t>
      </w:r>
      <w:r w:rsidRPr="007D563A">
        <w:rPr>
          <w:rFonts w:ascii="Garamond" w:eastAsiaTheme="minorHAnsi" w:hAnsi="Garamond" w:cstheme="minorBidi"/>
          <w:i/>
          <w:iCs/>
          <w:sz w:val="24"/>
          <w:szCs w:val="24"/>
          <w:lang w:val="en-US" w:eastAsia="en-US"/>
        </w:rPr>
        <w:t>Health Economics, Policy and Law</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17</w:t>
      </w:r>
      <w:r w:rsidRPr="007D563A">
        <w:rPr>
          <w:rFonts w:ascii="Garamond" w:eastAsiaTheme="minorHAnsi" w:hAnsi="Garamond" w:cstheme="minorBidi"/>
          <w:sz w:val="24"/>
          <w:szCs w:val="24"/>
          <w:lang w:val="en-US" w:eastAsia="en-US"/>
        </w:rPr>
        <w:t>(4), 398-415.</w:t>
      </w:r>
    </w:p>
    <w:p w14:paraId="564C0161"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it-IT" w:eastAsia="en-US"/>
        </w:rPr>
      </w:pPr>
      <w:r w:rsidRPr="007D563A">
        <w:rPr>
          <w:rFonts w:ascii="Garamond" w:eastAsiaTheme="minorHAnsi" w:hAnsi="Garamond" w:cstheme="minorBidi"/>
          <w:sz w:val="24"/>
          <w:szCs w:val="24"/>
          <w:lang w:val="it-IT" w:eastAsia="en-US"/>
        </w:rPr>
        <w:t xml:space="preserve">Poli, S., (2020)., Invecchiamento e Coronavirus: la costruzione sociale del rischio e la  marginalizzazione degli anziani oltre il lockdown, </w:t>
      </w:r>
      <w:proofErr w:type="spellStart"/>
      <w:r w:rsidRPr="007D563A">
        <w:rPr>
          <w:rFonts w:ascii="Garamond" w:eastAsiaTheme="minorHAnsi" w:hAnsi="Garamond" w:cstheme="minorBidi"/>
          <w:sz w:val="24"/>
          <w:szCs w:val="24"/>
          <w:lang w:val="it-IT" w:eastAsia="en-US"/>
        </w:rPr>
        <w:t>SocietàMutamentoPolitica</w:t>
      </w:r>
      <w:proofErr w:type="spellEnd"/>
      <w:r w:rsidRPr="007D563A">
        <w:rPr>
          <w:rFonts w:ascii="Garamond" w:eastAsiaTheme="minorHAnsi" w:hAnsi="Garamond" w:cstheme="minorBidi"/>
          <w:sz w:val="24"/>
          <w:szCs w:val="24"/>
          <w:lang w:val="it-IT" w:eastAsia="en-US"/>
        </w:rPr>
        <w:t>, 11(21), 271-280. https://doi.org/10.13128/smp-11967.</w:t>
      </w:r>
    </w:p>
    <w:p w14:paraId="3CDDB716"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Pons, E. G., </w:t>
      </w:r>
      <w:proofErr w:type="spellStart"/>
      <w:r w:rsidRPr="007D563A">
        <w:rPr>
          <w:rFonts w:ascii="Garamond" w:eastAsiaTheme="minorHAnsi" w:hAnsi="Garamond" w:cstheme="minorBidi"/>
          <w:sz w:val="24"/>
          <w:szCs w:val="24"/>
          <w:lang w:val="en-US" w:eastAsia="en-US"/>
        </w:rPr>
        <w:t>Pinazo-Clapés</w:t>
      </w:r>
      <w:proofErr w:type="spellEnd"/>
      <w:r w:rsidRPr="007D563A">
        <w:rPr>
          <w:rFonts w:ascii="Garamond" w:eastAsiaTheme="minorHAnsi" w:hAnsi="Garamond" w:cstheme="minorBidi"/>
          <w:sz w:val="24"/>
          <w:szCs w:val="24"/>
          <w:lang w:val="en-US" w:eastAsia="en-US"/>
        </w:rPr>
        <w:t xml:space="preserve">, C., Galan, A. S., </w:t>
      </w:r>
      <w:proofErr w:type="spellStart"/>
      <w:r w:rsidRPr="007D563A">
        <w:rPr>
          <w:rFonts w:ascii="Garamond" w:eastAsiaTheme="minorHAnsi" w:hAnsi="Garamond" w:cstheme="minorBidi"/>
          <w:sz w:val="24"/>
          <w:szCs w:val="24"/>
          <w:lang w:val="en-US" w:eastAsia="en-US"/>
        </w:rPr>
        <w:t>Pinazo</w:t>
      </w:r>
      <w:proofErr w:type="spellEnd"/>
      <w:r w:rsidRPr="007D563A">
        <w:rPr>
          <w:rFonts w:ascii="Garamond" w:eastAsiaTheme="minorHAnsi" w:hAnsi="Garamond" w:cstheme="minorBidi"/>
          <w:sz w:val="24"/>
          <w:szCs w:val="24"/>
          <w:lang w:val="en-US" w:eastAsia="en-US"/>
        </w:rPr>
        <w:t>-Hernandis, S., &amp; Esquiva, I. C. (2025). Ageism and suicide: A structural equation modeling analysis and evaluation of a high-fidelity simulation-based intervention for future healthcare professionals. </w:t>
      </w:r>
      <w:r w:rsidRPr="007D563A">
        <w:rPr>
          <w:rFonts w:ascii="Garamond" w:eastAsiaTheme="minorHAnsi" w:hAnsi="Garamond" w:cstheme="minorBidi"/>
          <w:i/>
          <w:iCs/>
          <w:sz w:val="24"/>
          <w:szCs w:val="24"/>
          <w:lang w:val="en-US" w:eastAsia="en-US"/>
        </w:rPr>
        <w:t>Geriatric Nursing</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66</w:t>
      </w:r>
      <w:r w:rsidRPr="007D563A">
        <w:rPr>
          <w:rFonts w:ascii="Garamond" w:eastAsiaTheme="minorHAnsi" w:hAnsi="Garamond" w:cstheme="minorBidi"/>
          <w:sz w:val="24"/>
          <w:szCs w:val="24"/>
          <w:lang w:val="en-US" w:eastAsia="en-US"/>
        </w:rPr>
        <w:t>, 103674.</w:t>
      </w:r>
    </w:p>
    <w:p w14:paraId="20C5A075"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Previtali</w:t>
      </w:r>
      <w:proofErr w:type="spellEnd"/>
      <w:r w:rsidRPr="007D563A">
        <w:rPr>
          <w:rFonts w:ascii="Garamond" w:eastAsiaTheme="minorHAnsi" w:hAnsi="Garamond" w:cstheme="minorBidi"/>
          <w:sz w:val="24"/>
          <w:szCs w:val="24"/>
          <w:lang w:val="en-US" w:eastAsia="en-US"/>
        </w:rPr>
        <w:t xml:space="preserve">, F., Allen, L. D., &amp; </w:t>
      </w:r>
      <w:proofErr w:type="spellStart"/>
      <w:r w:rsidRPr="007D563A">
        <w:rPr>
          <w:rFonts w:ascii="Garamond" w:eastAsiaTheme="minorHAnsi" w:hAnsi="Garamond" w:cstheme="minorBidi"/>
          <w:sz w:val="24"/>
          <w:szCs w:val="24"/>
          <w:lang w:val="en-US" w:eastAsia="en-US"/>
        </w:rPr>
        <w:t>Varlamova</w:t>
      </w:r>
      <w:proofErr w:type="spellEnd"/>
      <w:r w:rsidRPr="007D563A">
        <w:rPr>
          <w:rFonts w:ascii="Garamond" w:eastAsiaTheme="minorHAnsi" w:hAnsi="Garamond" w:cstheme="minorBidi"/>
          <w:sz w:val="24"/>
          <w:szCs w:val="24"/>
          <w:lang w:val="en-US" w:eastAsia="en-US"/>
        </w:rPr>
        <w:t xml:space="preserve">, M. (2020). Not only virus spread: The diffusion of ageism during the outbreak of COVID-19. </w:t>
      </w:r>
      <w:r w:rsidRPr="007D563A">
        <w:rPr>
          <w:rFonts w:ascii="Garamond" w:eastAsiaTheme="minorHAnsi" w:hAnsi="Garamond" w:cstheme="minorBidi"/>
          <w:i/>
          <w:iCs/>
          <w:sz w:val="24"/>
          <w:szCs w:val="24"/>
          <w:lang w:val="en-US" w:eastAsia="en-US"/>
        </w:rPr>
        <w:t>Journal of Aging &amp; Social Policy, 32</w:t>
      </w:r>
      <w:r w:rsidRPr="007D563A">
        <w:rPr>
          <w:rFonts w:ascii="Garamond" w:eastAsiaTheme="minorHAnsi" w:hAnsi="Garamond" w:cstheme="minorBidi"/>
          <w:sz w:val="24"/>
          <w:szCs w:val="24"/>
          <w:lang w:val="en-US" w:eastAsia="en-US"/>
        </w:rPr>
        <w:t>(4-5), 506–514. https://doi.org/10.1080/08959420.2020.1772002</w:t>
      </w:r>
    </w:p>
    <w:p w14:paraId="58A97DB2"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Rodriguez-Rodriguez, V., Rojo-Perez, F., Perez de </w:t>
      </w:r>
      <w:proofErr w:type="spellStart"/>
      <w:r w:rsidRPr="007D563A">
        <w:rPr>
          <w:rFonts w:ascii="Garamond" w:eastAsiaTheme="minorHAnsi" w:hAnsi="Garamond" w:cstheme="minorBidi"/>
          <w:sz w:val="24"/>
          <w:szCs w:val="24"/>
          <w:lang w:val="en-US" w:eastAsia="en-US"/>
        </w:rPr>
        <w:t>Arenaza</w:t>
      </w:r>
      <w:proofErr w:type="spellEnd"/>
      <w:r w:rsidRPr="007D563A">
        <w:rPr>
          <w:rFonts w:ascii="Garamond" w:eastAsiaTheme="minorHAnsi" w:hAnsi="Garamond" w:cstheme="minorBidi"/>
          <w:sz w:val="24"/>
          <w:szCs w:val="24"/>
          <w:lang w:val="en-US" w:eastAsia="en-US"/>
        </w:rPr>
        <w:t xml:space="preserve"> Escribano, C., Molina-Martínez, M. Á., Fernandez-</w:t>
      </w:r>
      <w:proofErr w:type="spellStart"/>
      <w:r w:rsidRPr="007D563A">
        <w:rPr>
          <w:rFonts w:ascii="Garamond" w:eastAsiaTheme="minorHAnsi" w:hAnsi="Garamond" w:cstheme="minorBidi"/>
          <w:sz w:val="24"/>
          <w:szCs w:val="24"/>
          <w:lang w:val="en-US" w:eastAsia="en-US"/>
        </w:rPr>
        <w:t>Mayoralas</w:t>
      </w:r>
      <w:proofErr w:type="spellEnd"/>
      <w:r w:rsidRPr="007D563A">
        <w:rPr>
          <w:rFonts w:ascii="Garamond" w:eastAsiaTheme="minorHAnsi" w:hAnsi="Garamond" w:cstheme="minorBidi"/>
          <w:sz w:val="24"/>
          <w:szCs w:val="24"/>
          <w:lang w:val="en-US" w:eastAsia="en-US"/>
        </w:rPr>
        <w:t>, G., Sánchez-González, D., Rojo-Abuin, J., Rodríguez-Blázquez, C., João Forjaz, M. &amp; Martin Garcia, S. (2022). The impact of COVID-19 on nursing homes: study design and population description. </w:t>
      </w:r>
      <w:r w:rsidRPr="007D563A">
        <w:rPr>
          <w:rFonts w:ascii="Garamond" w:eastAsiaTheme="minorHAnsi" w:hAnsi="Garamond" w:cstheme="minorBidi"/>
          <w:i/>
          <w:iCs/>
          <w:sz w:val="24"/>
          <w:szCs w:val="24"/>
          <w:lang w:val="en-US" w:eastAsia="en-US"/>
        </w:rPr>
        <w:t>International journal of environmental research and public health</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19</w:t>
      </w:r>
      <w:r w:rsidRPr="007D563A">
        <w:rPr>
          <w:rFonts w:ascii="Garamond" w:eastAsiaTheme="minorHAnsi" w:hAnsi="Garamond" w:cstheme="minorBidi"/>
          <w:sz w:val="24"/>
          <w:szCs w:val="24"/>
          <w:lang w:val="en-US" w:eastAsia="en-US"/>
        </w:rPr>
        <w:t>(24), 16629.</w:t>
      </w:r>
    </w:p>
    <w:p w14:paraId="794803A8"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Schüttengruber</w:t>
      </w:r>
      <w:proofErr w:type="spellEnd"/>
      <w:r w:rsidRPr="007D563A">
        <w:rPr>
          <w:rFonts w:ascii="Garamond" w:eastAsiaTheme="minorHAnsi" w:hAnsi="Garamond" w:cstheme="minorBidi"/>
          <w:sz w:val="24"/>
          <w:szCs w:val="24"/>
          <w:lang w:val="en-US" w:eastAsia="en-US"/>
        </w:rPr>
        <w:t xml:space="preserve">, G., Stolz, E., Lohrmann, C., Kriebernegg, U., </w:t>
      </w:r>
      <w:proofErr w:type="spellStart"/>
      <w:r w:rsidRPr="007D563A">
        <w:rPr>
          <w:rFonts w:ascii="Garamond" w:eastAsiaTheme="minorHAnsi" w:hAnsi="Garamond" w:cstheme="minorBidi"/>
          <w:sz w:val="24"/>
          <w:szCs w:val="24"/>
          <w:lang w:val="en-US" w:eastAsia="en-US"/>
        </w:rPr>
        <w:t>Halfens</w:t>
      </w:r>
      <w:proofErr w:type="spellEnd"/>
      <w:r w:rsidRPr="007D563A">
        <w:rPr>
          <w:rFonts w:ascii="Garamond" w:eastAsiaTheme="minorHAnsi" w:hAnsi="Garamond" w:cstheme="minorBidi"/>
          <w:sz w:val="24"/>
          <w:szCs w:val="24"/>
          <w:lang w:val="en-US" w:eastAsia="en-US"/>
        </w:rPr>
        <w:t xml:space="preserve">, R., &amp; </w:t>
      </w:r>
      <w:proofErr w:type="spellStart"/>
      <w:r w:rsidRPr="007D563A">
        <w:rPr>
          <w:rFonts w:ascii="Garamond" w:eastAsiaTheme="minorHAnsi" w:hAnsi="Garamond" w:cstheme="minorBidi"/>
          <w:sz w:val="24"/>
          <w:szCs w:val="24"/>
          <w:lang w:val="en-US" w:eastAsia="en-US"/>
        </w:rPr>
        <w:t>Großschädl</w:t>
      </w:r>
      <w:proofErr w:type="spellEnd"/>
      <w:r w:rsidRPr="007D563A">
        <w:rPr>
          <w:rFonts w:ascii="Garamond" w:eastAsiaTheme="minorHAnsi" w:hAnsi="Garamond" w:cstheme="minorBidi"/>
          <w:sz w:val="24"/>
          <w:szCs w:val="24"/>
          <w:lang w:val="en-US" w:eastAsia="en-US"/>
        </w:rPr>
        <w:t>, F. (2022). Attitudes towards older adults (80 years and older): a measurement with the ageing semantic differential</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a cross</w:t>
      </w:r>
      <w:r w:rsidRPr="007D563A">
        <w:rPr>
          <w:rFonts w:ascii="Cambria Math" w:eastAsiaTheme="minorHAnsi" w:hAnsi="Cambria Math" w:cs="Cambria Math"/>
          <w:sz w:val="24"/>
          <w:szCs w:val="24"/>
          <w:lang w:val="en-US" w:eastAsia="en-US"/>
        </w:rPr>
        <w:t>‐</w:t>
      </w:r>
      <w:r w:rsidRPr="007D563A">
        <w:rPr>
          <w:rFonts w:ascii="Garamond" w:eastAsiaTheme="minorHAnsi" w:hAnsi="Garamond" w:cstheme="minorBidi"/>
          <w:sz w:val="24"/>
          <w:szCs w:val="24"/>
          <w:lang w:val="en-US" w:eastAsia="en-US"/>
        </w:rPr>
        <w:t>sectional study of Austrian students. </w:t>
      </w:r>
      <w:r w:rsidRPr="007D563A">
        <w:rPr>
          <w:rFonts w:ascii="Garamond" w:eastAsiaTheme="minorHAnsi" w:hAnsi="Garamond" w:cstheme="minorBidi"/>
          <w:i/>
          <w:iCs/>
          <w:sz w:val="24"/>
          <w:szCs w:val="24"/>
          <w:lang w:val="en-US" w:eastAsia="en-US"/>
        </w:rPr>
        <w:t>International journal of older people nursing</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17</w:t>
      </w:r>
      <w:r w:rsidRPr="007D563A">
        <w:rPr>
          <w:rFonts w:ascii="Garamond" w:eastAsiaTheme="minorHAnsi" w:hAnsi="Garamond" w:cstheme="minorBidi"/>
          <w:sz w:val="24"/>
          <w:szCs w:val="24"/>
          <w:lang w:val="en-US" w:eastAsia="en-US"/>
        </w:rPr>
        <w:t>(3), e12430.</w:t>
      </w:r>
    </w:p>
    <w:p w14:paraId="5AC136BF"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Settels</w:t>
      </w:r>
      <w:proofErr w:type="spellEnd"/>
      <w:r w:rsidRPr="007D563A">
        <w:rPr>
          <w:rFonts w:ascii="Garamond" w:eastAsiaTheme="minorHAnsi" w:hAnsi="Garamond" w:cstheme="minorBidi"/>
          <w:sz w:val="24"/>
          <w:szCs w:val="24"/>
          <w:lang w:val="en-US" w:eastAsia="en-US"/>
        </w:rPr>
        <w:t>, J., &amp; Leist, A. K. (2022). The role of country-level availability and generosity of healthcare services, and old-age ageism for missed healthcare during the COVID-19 pandemic control measures in Europe. </w:t>
      </w:r>
      <w:r w:rsidRPr="007D563A">
        <w:rPr>
          <w:rFonts w:ascii="Garamond" w:eastAsiaTheme="minorHAnsi" w:hAnsi="Garamond" w:cstheme="minorBidi"/>
          <w:i/>
          <w:iCs/>
          <w:sz w:val="24"/>
          <w:szCs w:val="24"/>
          <w:lang w:val="en-US" w:eastAsia="en-US"/>
        </w:rPr>
        <w:t>Journal of aging and health</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34</w:t>
      </w:r>
      <w:r w:rsidRPr="007D563A">
        <w:rPr>
          <w:rFonts w:ascii="Garamond" w:eastAsiaTheme="minorHAnsi" w:hAnsi="Garamond" w:cstheme="minorBidi"/>
          <w:sz w:val="24"/>
          <w:szCs w:val="24"/>
          <w:lang w:val="en-US" w:eastAsia="en-US"/>
        </w:rPr>
        <w:t>(6-8), 1016-1036.</w:t>
      </w:r>
    </w:p>
    <w:p w14:paraId="415E1AD3"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Snellman (2016): Whose ageism? The reinvigoration and definitions of an elusive concept, Nordic Psychology, DOI: 10.1080/19012276.2015.1125301.</w:t>
      </w:r>
    </w:p>
    <w:p w14:paraId="5237D78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Springer, F., Matsuoka, A., Obama, K., Mehnert-Theuerkauf, A., </w:t>
      </w:r>
      <w:proofErr w:type="spellStart"/>
      <w:r w:rsidRPr="007D563A">
        <w:rPr>
          <w:rFonts w:ascii="Garamond" w:eastAsiaTheme="minorHAnsi" w:hAnsi="Garamond" w:cstheme="minorBidi"/>
          <w:sz w:val="24"/>
          <w:szCs w:val="24"/>
          <w:lang w:val="en-US" w:eastAsia="en-US"/>
        </w:rPr>
        <w:t>Uchitomi</w:t>
      </w:r>
      <w:proofErr w:type="spellEnd"/>
      <w:r w:rsidRPr="007D563A">
        <w:rPr>
          <w:rFonts w:ascii="Garamond" w:eastAsiaTheme="minorHAnsi" w:hAnsi="Garamond" w:cstheme="minorBidi"/>
          <w:sz w:val="24"/>
          <w:szCs w:val="24"/>
          <w:lang w:val="en-US" w:eastAsia="en-US"/>
        </w:rPr>
        <w:t>, Y., &amp; Fujimori, M. (2025). Quality of life in older patients with cancer and related unmet needs: a scoping review. </w:t>
      </w:r>
      <w:r w:rsidRPr="007D563A">
        <w:rPr>
          <w:rFonts w:ascii="Garamond" w:eastAsiaTheme="minorHAnsi" w:hAnsi="Garamond" w:cstheme="minorBidi"/>
          <w:i/>
          <w:iCs/>
          <w:sz w:val="24"/>
          <w:szCs w:val="24"/>
          <w:lang w:val="en-US" w:eastAsia="en-US"/>
        </w:rPr>
        <w:t xml:space="preserve">Acta </w:t>
      </w:r>
      <w:proofErr w:type="spellStart"/>
      <w:r w:rsidRPr="007D563A">
        <w:rPr>
          <w:rFonts w:ascii="Garamond" w:eastAsiaTheme="minorHAnsi" w:hAnsi="Garamond" w:cstheme="minorBidi"/>
          <w:i/>
          <w:iCs/>
          <w:sz w:val="24"/>
          <w:szCs w:val="24"/>
          <w:lang w:val="en-US" w:eastAsia="en-US"/>
        </w:rPr>
        <w:t>Oncologica</w:t>
      </w:r>
      <w:proofErr w:type="spellEnd"/>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64</w:t>
      </w:r>
      <w:r w:rsidRPr="007D563A">
        <w:rPr>
          <w:rFonts w:ascii="Garamond" w:eastAsiaTheme="minorHAnsi" w:hAnsi="Garamond" w:cstheme="minorBidi"/>
          <w:sz w:val="24"/>
          <w:szCs w:val="24"/>
          <w:lang w:val="en-US" w:eastAsia="en-US"/>
        </w:rPr>
        <w:t>, 42602.</w:t>
      </w:r>
    </w:p>
    <w:p w14:paraId="4354762A"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Stypińska</w:t>
      </w:r>
      <w:proofErr w:type="spellEnd"/>
      <w:r w:rsidRPr="007D563A">
        <w:rPr>
          <w:rFonts w:ascii="Garamond" w:eastAsiaTheme="minorHAnsi" w:hAnsi="Garamond" w:cstheme="minorBidi"/>
          <w:sz w:val="24"/>
          <w:szCs w:val="24"/>
          <w:lang w:val="en-US" w:eastAsia="en-US"/>
        </w:rPr>
        <w:t>, J., &amp; Franke, A. (2023). AI revolution in healthcare and medicine and the (re-) emergence of inequalities and disadvantages for ageing population. </w:t>
      </w:r>
      <w:r w:rsidRPr="007D563A">
        <w:rPr>
          <w:rFonts w:ascii="Garamond" w:eastAsiaTheme="minorHAnsi" w:hAnsi="Garamond" w:cstheme="minorBidi"/>
          <w:i/>
          <w:iCs/>
          <w:sz w:val="24"/>
          <w:szCs w:val="24"/>
          <w:lang w:val="en-US" w:eastAsia="en-US"/>
        </w:rPr>
        <w:t>Frontiers in Sociology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7</w:t>
      </w:r>
      <w:r w:rsidRPr="007D563A">
        <w:rPr>
          <w:rFonts w:ascii="Garamond" w:eastAsiaTheme="minorHAnsi" w:hAnsi="Garamond" w:cstheme="minorBidi"/>
          <w:sz w:val="24"/>
          <w:szCs w:val="24"/>
          <w:lang w:val="en-US" w:eastAsia="en-US"/>
        </w:rPr>
        <w:t>, 1038854.</w:t>
      </w:r>
    </w:p>
    <w:p w14:paraId="1A460978"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it-IT" w:eastAsia="en-US"/>
        </w:rPr>
      </w:pPr>
      <w:r w:rsidRPr="007D563A">
        <w:rPr>
          <w:rFonts w:ascii="Garamond" w:eastAsiaTheme="minorHAnsi" w:hAnsi="Garamond" w:cstheme="minorBidi"/>
          <w:sz w:val="24"/>
          <w:szCs w:val="24"/>
          <w:lang w:val="en-US" w:eastAsia="en-US"/>
        </w:rPr>
        <w:lastRenderedPageBreak/>
        <w:t xml:space="preserve">Teaster, P. B., &amp; Giwa, A. O. (2023). Ageism </w:t>
      </w:r>
      <w:proofErr w:type="gramStart"/>
      <w:r w:rsidRPr="007D563A">
        <w:rPr>
          <w:rFonts w:ascii="Garamond" w:eastAsiaTheme="minorHAnsi" w:hAnsi="Garamond" w:cstheme="minorBidi"/>
          <w:sz w:val="24"/>
          <w:szCs w:val="24"/>
          <w:lang w:val="en-US" w:eastAsia="en-US"/>
        </w:rPr>
        <w:t>as</w:t>
      </w:r>
      <w:proofErr w:type="gramEnd"/>
      <w:r w:rsidRPr="007D563A">
        <w:rPr>
          <w:rFonts w:ascii="Garamond" w:eastAsiaTheme="minorHAnsi" w:hAnsi="Garamond" w:cstheme="minorBidi"/>
          <w:sz w:val="24"/>
          <w:szCs w:val="24"/>
          <w:lang w:val="en-US" w:eastAsia="en-US"/>
        </w:rPr>
        <w:t xml:space="preserve"> a source of global mental health inequity. </w:t>
      </w:r>
      <w:r w:rsidRPr="007D563A">
        <w:rPr>
          <w:rFonts w:ascii="Garamond" w:eastAsiaTheme="minorHAnsi" w:hAnsi="Garamond" w:cstheme="minorBidi"/>
          <w:i/>
          <w:iCs/>
          <w:sz w:val="24"/>
          <w:szCs w:val="24"/>
          <w:lang w:val="it-IT" w:eastAsia="en-US"/>
        </w:rPr>
        <w:t>AMA Journal of Ethics</w:t>
      </w:r>
      <w:r w:rsidRPr="007D563A">
        <w:rPr>
          <w:rFonts w:ascii="Garamond" w:eastAsiaTheme="minorHAnsi" w:hAnsi="Garamond" w:cstheme="minorBidi"/>
          <w:sz w:val="24"/>
          <w:szCs w:val="24"/>
          <w:lang w:val="it-IT" w:eastAsia="en-US"/>
        </w:rPr>
        <w:t>, </w:t>
      </w:r>
      <w:r w:rsidRPr="007D563A">
        <w:rPr>
          <w:rFonts w:ascii="Garamond" w:eastAsiaTheme="minorHAnsi" w:hAnsi="Garamond" w:cstheme="minorBidi"/>
          <w:i/>
          <w:iCs/>
          <w:sz w:val="24"/>
          <w:szCs w:val="24"/>
          <w:lang w:val="it-IT" w:eastAsia="en-US"/>
        </w:rPr>
        <w:t>25</w:t>
      </w:r>
      <w:r w:rsidRPr="007D563A">
        <w:rPr>
          <w:rFonts w:ascii="Garamond" w:eastAsiaTheme="minorHAnsi" w:hAnsi="Garamond" w:cstheme="minorBidi"/>
          <w:sz w:val="24"/>
          <w:szCs w:val="24"/>
          <w:lang w:val="it-IT" w:eastAsia="en-US"/>
        </w:rPr>
        <w:t>(10), 765-770.</w:t>
      </w:r>
    </w:p>
    <w:p w14:paraId="0BE5FCC4"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it-IT" w:eastAsia="en-US"/>
        </w:rPr>
        <w:t xml:space="preserve">Trevisan, C., Pedone, C., Maggi, S., Noale, M., Di Bari, M., </w:t>
      </w:r>
      <w:proofErr w:type="spellStart"/>
      <w:r w:rsidRPr="007D563A">
        <w:rPr>
          <w:rFonts w:ascii="Garamond" w:eastAsiaTheme="minorHAnsi" w:hAnsi="Garamond" w:cstheme="minorBidi"/>
          <w:sz w:val="24"/>
          <w:szCs w:val="24"/>
          <w:lang w:val="it-IT" w:eastAsia="en-US"/>
        </w:rPr>
        <w:t>Sojic</w:t>
      </w:r>
      <w:proofErr w:type="spellEnd"/>
      <w:r w:rsidRPr="007D563A">
        <w:rPr>
          <w:rFonts w:ascii="Garamond" w:eastAsiaTheme="minorHAnsi" w:hAnsi="Garamond" w:cstheme="minorBidi"/>
          <w:sz w:val="24"/>
          <w:szCs w:val="24"/>
          <w:lang w:val="it-IT" w:eastAsia="en-US"/>
        </w:rPr>
        <w:t xml:space="preserve">, A., ... </w:t>
      </w:r>
      <w:r w:rsidRPr="007D563A">
        <w:rPr>
          <w:rFonts w:ascii="Garamond" w:eastAsiaTheme="minorHAnsi" w:hAnsi="Garamond" w:cstheme="minorBidi"/>
          <w:sz w:val="24"/>
          <w:szCs w:val="24"/>
          <w:lang w:val="en-US" w:eastAsia="en-US"/>
        </w:rPr>
        <w:t xml:space="preserve">&amp; </w:t>
      </w:r>
      <w:proofErr w:type="spellStart"/>
      <w:r w:rsidRPr="007D563A">
        <w:rPr>
          <w:rFonts w:ascii="Garamond" w:eastAsiaTheme="minorHAnsi" w:hAnsi="Garamond" w:cstheme="minorBidi"/>
          <w:sz w:val="24"/>
          <w:szCs w:val="24"/>
          <w:lang w:val="en-US" w:eastAsia="en-US"/>
        </w:rPr>
        <w:t>Epicovid</w:t>
      </w:r>
      <w:proofErr w:type="spellEnd"/>
      <w:r w:rsidRPr="007D563A">
        <w:rPr>
          <w:rFonts w:ascii="Garamond" w:eastAsiaTheme="minorHAnsi" w:hAnsi="Garamond" w:cstheme="minorBidi"/>
          <w:sz w:val="24"/>
          <w:szCs w:val="24"/>
          <w:lang w:val="en-US" w:eastAsia="en-US"/>
        </w:rPr>
        <w:t xml:space="preserve"> Working Group. (2021). Accessibility to SARS-CoV-2 swab test during the COVID-19 pandemic: Did age make the </w:t>
      </w:r>
      <w:proofErr w:type="gramStart"/>
      <w:r w:rsidRPr="007D563A">
        <w:rPr>
          <w:rFonts w:ascii="Garamond" w:eastAsiaTheme="minorHAnsi" w:hAnsi="Garamond" w:cstheme="minorBidi"/>
          <w:sz w:val="24"/>
          <w:szCs w:val="24"/>
          <w:lang w:val="en-US" w:eastAsia="en-US"/>
        </w:rPr>
        <w:t>difference?.</w:t>
      </w:r>
      <w:proofErr w:type="gramEnd"/>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Health policy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125</w:t>
      </w:r>
      <w:r w:rsidRPr="007D563A">
        <w:rPr>
          <w:rFonts w:ascii="Garamond" w:eastAsiaTheme="minorHAnsi" w:hAnsi="Garamond" w:cstheme="minorBidi"/>
          <w:sz w:val="24"/>
          <w:szCs w:val="24"/>
          <w:lang w:val="en-US" w:eastAsia="en-US"/>
        </w:rPr>
        <w:t>(12), 1580-1586.</w:t>
      </w:r>
    </w:p>
    <w:p w14:paraId="111E9936"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proofErr w:type="spellStart"/>
      <w:r w:rsidRPr="007D563A">
        <w:rPr>
          <w:rFonts w:ascii="Garamond" w:eastAsiaTheme="minorHAnsi" w:hAnsi="Garamond" w:cstheme="minorBidi"/>
          <w:sz w:val="24"/>
          <w:szCs w:val="24"/>
          <w:lang w:val="en-US" w:eastAsia="en-US"/>
        </w:rPr>
        <w:t>Tricco</w:t>
      </w:r>
      <w:proofErr w:type="spellEnd"/>
      <w:r w:rsidRPr="007D563A">
        <w:rPr>
          <w:rFonts w:ascii="Garamond" w:eastAsiaTheme="minorHAnsi" w:hAnsi="Garamond" w:cstheme="minorBidi"/>
          <w:sz w:val="24"/>
          <w:szCs w:val="24"/>
          <w:lang w:val="en-US" w:eastAsia="en-US"/>
        </w:rPr>
        <w:t xml:space="preserve">, A. C., Lillie, E., Zarin, W., O’Brien, K. K., Colquhoun, H., Levac, D., Moher, D., Peters, M. D. J., Horsley, T., Weeks, L., Hempel, S., Akl, E. A., Chang, C., McGowan, J., Stewart, L., Hartling, L., </w:t>
      </w:r>
      <w:proofErr w:type="spellStart"/>
      <w:r w:rsidRPr="007D563A">
        <w:rPr>
          <w:rFonts w:ascii="Garamond" w:eastAsiaTheme="minorHAnsi" w:hAnsi="Garamond" w:cstheme="minorBidi"/>
          <w:sz w:val="24"/>
          <w:szCs w:val="24"/>
          <w:lang w:val="en-US" w:eastAsia="en-US"/>
        </w:rPr>
        <w:t>Aldcroft</w:t>
      </w:r>
      <w:proofErr w:type="spellEnd"/>
      <w:r w:rsidRPr="007D563A">
        <w:rPr>
          <w:rFonts w:ascii="Garamond" w:eastAsiaTheme="minorHAnsi" w:hAnsi="Garamond" w:cstheme="minorBidi"/>
          <w:sz w:val="24"/>
          <w:szCs w:val="24"/>
          <w:lang w:val="en-US" w:eastAsia="en-US"/>
        </w:rPr>
        <w:t>, A., Wilson, M. G., Garritty, C., … Straus, S. E. (2018). PRISMA extension for scoping reviews (PRISMA-</w:t>
      </w:r>
      <w:proofErr w:type="spellStart"/>
      <w:r w:rsidRPr="007D563A">
        <w:rPr>
          <w:rFonts w:ascii="Garamond" w:eastAsiaTheme="minorHAnsi" w:hAnsi="Garamond" w:cstheme="minorBidi"/>
          <w:sz w:val="24"/>
          <w:szCs w:val="24"/>
          <w:lang w:val="en-US" w:eastAsia="en-US"/>
        </w:rPr>
        <w:t>ScR</w:t>
      </w:r>
      <w:proofErr w:type="spellEnd"/>
      <w:r w:rsidRPr="007D563A">
        <w:rPr>
          <w:rFonts w:ascii="Garamond" w:eastAsiaTheme="minorHAnsi" w:hAnsi="Garamond" w:cstheme="minorBidi"/>
          <w:sz w:val="24"/>
          <w:szCs w:val="24"/>
          <w:lang w:val="en-US" w:eastAsia="en-US"/>
        </w:rPr>
        <w:t>): Checklist and explanation. Annals of Internal Medicine, 169(7), 467–473. https://doi.org/10.7326/M18-0850.</w:t>
      </w:r>
    </w:p>
    <w:p w14:paraId="5DE87452"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United Nations (2024). </w:t>
      </w:r>
      <w:r w:rsidRPr="007D563A">
        <w:rPr>
          <w:rFonts w:ascii="Garamond" w:eastAsiaTheme="minorHAnsi" w:hAnsi="Garamond" w:cstheme="minorBidi"/>
          <w:i/>
          <w:iCs/>
          <w:sz w:val="24"/>
          <w:szCs w:val="24"/>
          <w:lang w:val="en-US" w:eastAsia="en-US"/>
        </w:rPr>
        <w:t>World population prospects 2024: Highlights</w:t>
      </w:r>
      <w:r w:rsidRPr="007D563A">
        <w:rPr>
          <w:rFonts w:ascii="Garamond" w:eastAsiaTheme="minorHAnsi" w:hAnsi="Garamond" w:cstheme="minorBidi"/>
          <w:sz w:val="24"/>
          <w:szCs w:val="24"/>
          <w:lang w:val="en-US" w:eastAsia="en-US"/>
        </w:rPr>
        <w:t>. Department of Economic and Social Affairs.</w:t>
      </w:r>
    </w:p>
    <w:p w14:paraId="39C36779"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Uwitonze, J. P., Duminy, L., &amp; </w:t>
      </w:r>
      <w:proofErr w:type="spellStart"/>
      <w:r w:rsidRPr="007D563A">
        <w:rPr>
          <w:rFonts w:ascii="Garamond" w:eastAsiaTheme="minorHAnsi" w:hAnsi="Garamond" w:cstheme="minorBidi"/>
          <w:sz w:val="24"/>
          <w:szCs w:val="24"/>
          <w:lang w:val="en-US" w:eastAsia="en-US"/>
        </w:rPr>
        <w:t>Blankart</w:t>
      </w:r>
      <w:proofErr w:type="spellEnd"/>
      <w:r w:rsidRPr="007D563A">
        <w:rPr>
          <w:rFonts w:ascii="Garamond" w:eastAsiaTheme="minorHAnsi" w:hAnsi="Garamond" w:cstheme="minorBidi"/>
          <w:sz w:val="24"/>
          <w:szCs w:val="24"/>
          <w:lang w:val="en-US" w:eastAsia="en-US"/>
        </w:rPr>
        <w:t>, C. R. (2024). Identifying health inequities faced by older adults with rare diseases: A systematic literature review and proposal for an ethical spectrum and resource allocation framework. </w:t>
      </w:r>
      <w:r w:rsidRPr="007D563A">
        <w:rPr>
          <w:rFonts w:ascii="Garamond" w:eastAsiaTheme="minorHAnsi" w:hAnsi="Garamond" w:cstheme="minorBidi"/>
          <w:i/>
          <w:iCs/>
          <w:sz w:val="24"/>
          <w:szCs w:val="24"/>
          <w:lang w:val="en-US" w:eastAsia="en-US"/>
        </w:rPr>
        <w:t>Health Policy</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149</w:t>
      </w:r>
      <w:r w:rsidRPr="007D563A">
        <w:rPr>
          <w:rFonts w:ascii="Garamond" w:eastAsiaTheme="minorHAnsi" w:hAnsi="Garamond" w:cstheme="minorBidi"/>
          <w:sz w:val="24"/>
          <w:szCs w:val="24"/>
          <w:lang w:val="en-US" w:eastAsia="en-US"/>
        </w:rPr>
        <w:t>, 105176.</w:t>
      </w:r>
    </w:p>
    <w:p w14:paraId="18656633"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Van Kolfschooten, H. (2023). The AI cycle of health inequity and digital ageism: mitigating biases through the EU regulatory framework on medical devices. </w:t>
      </w:r>
      <w:r w:rsidRPr="007D563A">
        <w:rPr>
          <w:rFonts w:ascii="Garamond" w:eastAsiaTheme="minorHAnsi" w:hAnsi="Garamond" w:cstheme="minorBidi"/>
          <w:i/>
          <w:iCs/>
          <w:sz w:val="24"/>
          <w:szCs w:val="24"/>
          <w:lang w:val="en-US" w:eastAsia="en-US"/>
        </w:rPr>
        <w:t>Journal of Law and the Biosciences</w:t>
      </w:r>
      <w:r w:rsidRPr="007D563A">
        <w:rPr>
          <w:rFonts w:ascii="Garamond" w:eastAsiaTheme="minorHAnsi" w:hAnsi="Garamond" w:cstheme="minorBidi"/>
          <w:sz w:val="24"/>
          <w:szCs w:val="24"/>
          <w:lang w:val="en-US" w:eastAsia="en-US"/>
        </w:rPr>
        <w:t>, </w:t>
      </w:r>
      <w:r w:rsidRPr="007D563A">
        <w:rPr>
          <w:rFonts w:ascii="Garamond" w:eastAsiaTheme="minorHAnsi" w:hAnsi="Garamond" w:cstheme="minorBidi"/>
          <w:i/>
          <w:iCs/>
          <w:sz w:val="24"/>
          <w:szCs w:val="24"/>
          <w:lang w:val="en-US" w:eastAsia="en-US"/>
        </w:rPr>
        <w:t>10</w:t>
      </w:r>
      <w:r w:rsidRPr="007D563A">
        <w:rPr>
          <w:rFonts w:ascii="Garamond" w:eastAsiaTheme="minorHAnsi" w:hAnsi="Garamond" w:cstheme="minorBidi"/>
          <w:sz w:val="24"/>
          <w:szCs w:val="24"/>
          <w:lang w:val="en-US" w:eastAsia="en-US"/>
        </w:rPr>
        <w:t>(2), lsad031.</w:t>
      </w:r>
    </w:p>
    <w:p w14:paraId="050E72D2"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WHO (2021). </w:t>
      </w:r>
      <w:r w:rsidRPr="007D563A">
        <w:rPr>
          <w:rFonts w:ascii="Garamond" w:eastAsiaTheme="minorHAnsi" w:hAnsi="Garamond" w:cstheme="minorBidi"/>
          <w:i/>
          <w:iCs/>
          <w:sz w:val="24"/>
          <w:szCs w:val="24"/>
          <w:lang w:val="en-US" w:eastAsia="en-US"/>
        </w:rPr>
        <w:t xml:space="preserve">Global report on ageism. </w:t>
      </w:r>
      <w:r w:rsidRPr="007D563A">
        <w:rPr>
          <w:rFonts w:ascii="Garamond" w:eastAsiaTheme="minorHAnsi" w:hAnsi="Garamond" w:cstheme="minorBidi"/>
          <w:sz w:val="24"/>
          <w:szCs w:val="24"/>
          <w:lang w:val="en-US" w:eastAsia="en-US"/>
        </w:rPr>
        <w:t>World Health Organization</w:t>
      </w:r>
    </w:p>
    <w:p w14:paraId="16578FEC" w14:textId="77777777" w:rsidR="007D563A" w:rsidRPr="007D563A" w:rsidRDefault="007D563A" w:rsidP="007D563A">
      <w:pPr>
        <w:spacing w:after="0" w:line="240" w:lineRule="auto"/>
        <w:ind w:left="284" w:hanging="284"/>
        <w:jc w:val="both"/>
        <w:rPr>
          <w:rFonts w:ascii="Garamond" w:eastAsiaTheme="minorHAnsi" w:hAnsi="Garamond" w:cstheme="minorBidi"/>
          <w:sz w:val="24"/>
          <w:szCs w:val="24"/>
          <w:lang w:val="en-US" w:eastAsia="en-US"/>
        </w:rPr>
      </w:pPr>
      <w:r w:rsidRPr="007D563A">
        <w:rPr>
          <w:rFonts w:ascii="Garamond" w:eastAsiaTheme="minorHAnsi" w:hAnsi="Garamond" w:cstheme="minorBidi"/>
          <w:sz w:val="24"/>
          <w:szCs w:val="24"/>
          <w:lang w:val="en-US" w:eastAsia="en-US"/>
        </w:rPr>
        <w:t xml:space="preserve">WHO (2025). </w:t>
      </w:r>
      <w:r w:rsidRPr="007D563A">
        <w:rPr>
          <w:rFonts w:ascii="Garamond" w:eastAsiaTheme="minorHAnsi" w:hAnsi="Garamond" w:cstheme="minorBidi"/>
          <w:i/>
          <w:iCs/>
          <w:sz w:val="24"/>
          <w:szCs w:val="24"/>
          <w:lang w:val="en-US" w:eastAsia="en-US"/>
        </w:rPr>
        <w:t>Ageing and health.</w:t>
      </w:r>
      <w:r w:rsidRPr="007D563A">
        <w:rPr>
          <w:rFonts w:ascii="Garamond" w:eastAsiaTheme="minorHAnsi" w:hAnsi="Garamond" w:cstheme="minorBidi"/>
          <w:sz w:val="24"/>
          <w:szCs w:val="24"/>
          <w:lang w:val="en-US" w:eastAsia="en-US"/>
        </w:rPr>
        <w:t xml:space="preserve"> World Health Organization</w:t>
      </w:r>
    </w:p>
    <w:p w14:paraId="38391BF7" w14:textId="77777777" w:rsidR="007D563A" w:rsidRPr="007D563A" w:rsidRDefault="007D563A" w:rsidP="007D563A">
      <w:pPr>
        <w:spacing w:after="0" w:line="240" w:lineRule="auto"/>
        <w:jc w:val="both"/>
        <w:rPr>
          <w:rFonts w:asciiTheme="minorHAnsi" w:eastAsiaTheme="minorHAnsi" w:hAnsiTheme="minorHAnsi" w:cstheme="minorBidi"/>
          <w:lang w:val="en-US" w:eastAsia="en-US"/>
        </w:rPr>
      </w:pPr>
    </w:p>
    <w:p w14:paraId="000000A7" w14:textId="77777777" w:rsidR="00D074F3" w:rsidRDefault="00D074F3" w:rsidP="007D563A">
      <w:pPr>
        <w:spacing w:after="0" w:line="240" w:lineRule="auto"/>
        <w:jc w:val="center"/>
        <w:rPr>
          <w:rFonts w:ascii="Garamond" w:eastAsia="Garamond" w:hAnsi="Garamond" w:cs="Garamond"/>
          <w:color w:val="000000"/>
          <w:sz w:val="24"/>
          <w:szCs w:val="24"/>
        </w:rPr>
      </w:pPr>
    </w:p>
    <w:sectPr w:rsidR="00D074F3" w:rsidSect="003C50DA">
      <w:headerReference w:type="even" r:id="rId9"/>
      <w:headerReference w:type="default" r:id="rId10"/>
      <w:footerReference w:type="default" r:id="rId11"/>
      <w:headerReference w:type="first" r:id="rId12"/>
      <w:pgSz w:w="11906" w:h="16838"/>
      <w:pgMar w:top="1418" w:right="1418" w:bottom="1985" w:left="1418"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0CCBC" w14:textId="77777777" w:rsidR="007069FD" w:rsidRDefault="007069FD">
      <w:pPr>
        <w:spacing w:after="0" w:line="240" w:lineRule="auto"/>
      </w:pPr>
      <w:r>
        <w:separator/>
      </w:r>
    </w:p>
  </w:endnote>
  <w:endnote w:type="continuationSeparator" w:id="0">
    <w:p w14:paraId="7E60F208" w14:textId="77777777" w:rsidR="007069FD" w:rsidRDefault="0070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5105E0D-00A7-4F5C-9666-0CFC8A8083D9}"/>
    <w:embedBold r:id="rId2" w:fontKey="{DC52070C-9C43-4698-A354-34873832A41D}"/>
    <w:embedItalic r:id="rId3" w:fontKey="{FEB05D12-E084-448B-822A-C39856C423E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C3A297A4-AF95-4B96-B855-0DF2060FF59D}"/>
    <w:embedBold r:id="rId5" w:fontKey="{9FD4D30A-CAEF-45F8-BCBB-8E7B2F38B2E9}"/>
  </w:font>
  <w:font w:name="Tahoma">
    <w:panose1 w:val="020B0604030504040204"/>
    <w:charset w:val="00"/>
    <w:family w:val="swiss"/>
    <w:pitch w:val="variable"/>
    <w:sig w:usb0="E1002EFF" w:usb1="C000605B" w:usb2="00000029" w:usb3="00000000" w:csb0="000101FF" w:csb1="00000000"/>
    <w:embedRegular r:id="rId6" w:fontKey="{188FB9B2-B4C4-4FCC-9842-1DED6E23AF6D}"/>
  </w:font>
  <w:font w:name="Georgia">
    <w:panose1 w:val="02040502050405020303"/>
    <w:charset w:val="00"/>
    <w:family w:val="roman"/>
    <w:pitch w:val="variable"/>
    <w:sig w:usb0="00000287" w:usb1="00000000" w:usb2="00000000" w:usb3="00000000" w:csb0="0000009F" w:csb1="00000000"/>
    <w:embedRegular r:id="rId7" w:fontKey="{CB290BC9-FF47-42F9-AD63-92344D18C1EF}"/>
    <w:embedItalic r:id="rId8" w:fontKey="{91145162-A443-4C5B-BCEF-0E7B6D3DF276}"/>
  </w:font>
  <w:font w:name="Garamond">
    <w:panose1 w:val="02020404030301010803"/>
    <w:charset w:val="00"/>
    <w:family w:val="roman"/>
    <w:pitch w:val="variable"/>
    <w:sig w:usb0="00000287" w:usb1="00000000" w:usb2="00000000" w:usb3="00000000" w:csb0="0000009F" w:csb1="00000000"/>
    <w:embedRegular r:id="rId9" w:fontKey="{A2AB3BD3-8713-4914-A18D-39858E597C8B}"/>
    <w:embedBold r:id="rId10" w:fontKey="{C95F4514-FB11-403C-9FE6-BB3A6EA589D8}"/>
    <w:embedItalic r:id="rId11" w:fontKey="{F984E1CE-0967-4664-AB9E-F344D8F5B695}"/>
    <w:embedBoldItalic r:id="rId12" w:fontKey="{36910127-CF6C-4CD8-AB0C-4FE7F0AEB350}"/>
  </w:font>
  <w:font w:name="Arial">
    <w:panose1 w:val="020B0604020202020204"/>
    <w:charset w:val="00"/>
    <w:family w:val="swiss"/>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Noto Sans">
    <w:charset w:val="00"/>
    <w:family w:val="swiss"/>
    <w:pitch w:val="variable"/>
    <w:sig w:usb0="E00082FF" w:usb1="400078FF" w:usb2="00000021" w:usb3="00000000" w:csb0="0000019F" w:csb1="00000000"/>
    <w:embedRegular r:id="rId13" w:fontKey="{5E3F5891-107C-4E73-9034-59D551B776F0}"/>
  </w:font>
  <w:font w:name="NewBaskerville-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4" w:fontKey="{AE32FC17-8B6D-4921-B3ED-7E858567F2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4330368"/>
      <w:docPartObj>
        <w:docPartGallery w:val="Page Numbers (Bottom of Page)"/>
        <w:docPartUnique/>
      </w:docPartObj>
    </w:sdtPr>
    <w:sdtEndPr>
      <w:rPr>
        <w:rFonts w:ascii="Garamond" w:hAnsi="Garamond"/>
      </w:rPr>
    </w:sdtEndPr>
    <w:sdtContent>
      <w:p w14:paraId="1DB13977" w14:textId="30758334" w:rsidR="007D563A" w:rsidRPr="007D563A" w:rsidRDefault="007D563A">
        <w:pPr>
          <w:pStyle w:val="Pidipagina"/>
          <w:jc w:val="center"/>
          <w:rPr>
            <w:rFonts w:ascii="Garamond" w:hAnsi="Garamond"/>
          </w:rPr>
        </w:pPr>
        <w:r w:rsidRPr="007D563A">
          <w:rPr>
            <w:rFonts w:ascii="Garamond" w:hAnsi="Garamond"/>
          </w:rPr>
          <w:fldChar w:fldCharType="begin"/>
        </w:r>
        <w:r w:rsidRPr="007D563A">
          <w:rPr>
            <w:rFonts w:ascii="Garamond" w:hAnsi="Garamond"/>
          </w:rPr>
          <w:instrText>PAGE   \* MERGEFORMAT</w:instrText>
        </w:r>
        <w:r w:rsidRPr="007D563A">
          <w:rPr>
            <w:rFonts w:ascii="Garamond" w:hAnsi="Garamond"/>
          </w:rPr>
          <w:fldChar w:fldCharType="separate"/>
        </w:r>
        <w:r w:rsidRPr="007D563A">
          <w:rPr>
            <w:rFonts w:ascii="Garamond" w:hAnsi="Garamond"/>
            <w:lang w:val="it-IT"/>
          </w:rPr>
          <w:t>2</w:t>
        </w:r>
        <w:r w:rsidRPr="007D563A">
          <w:rPr>
            <w:rFonts w:ascii="Garamond" w:hAnsi="Garamond"/>
          </w:rPr>
          <w:fldChar w:fldCharType="end"/>
        </w:r>
      </w:p>
    </w:sdtContent>
  </w:sdt>
  <w:p w14:paraId="000000AC" w14:textId="77777777" w:rsidR="00D074F3" w:rsidRDefault="00D074F3">
    <w:pPr>
      <w:pBdr>
        <w:top w:val="nil"/>
        <w:left w:val="nil"/>
        <w:bottom w:val="nil"/>
        <w:right w:val="nil"/>
        <w:between w:val="nil"/>
      </w:pBdr>
      <w:tabs>
        <w:tab w:val="center" w:pos="4819"/>
        <w:tab w:val="right" w:pos="9638"/>
      </w:tabs>
      <w:spacing w:after="0" w:line="240" w:lineRule="auto"/>
      <w:rPr>
        <w:rFonts w:ascii="Garamond" w:eastAsia="Garamond" w:hAnsi="Garamond" w:cs="Garamond"/>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7964F" w14:textId="77777777" w:rsidR="007069FD" w:rsidRDefault="007069FD">
      <w:pPr>
        <w:spacing w:after="0" w:line="240" w:lineRule="auto"/>
      </w:pPr>
      <w:r>
        <w:separator/>
      </w:r>
    </w:p>
  </w:footnote>
  <w:footnote w:type="continuationSeparator" w:id="0">
    <w:p w14:paraId="287783B4" w14:textId="77777777" w:rsidR="007069FD" w:rsidRDefault="007069FD">
      <w:pPr>
        <w:spacing w:after="0" w:line="240" w:lineRule="auto"/>
      </w:pPr>
      <w:r>
        <w:continuationSeparator/>
      </w:r>
    </w:p>
  </w:footnote>
  <w:footnote w:id="1">
    <w:p w14:paraId="105D517F" w14:textId="77777777" w:rsidR="007D563A" w:rsidRPr="007D563A" w:rsidRDefault="007D563A" w:rsidP="007D563A">
      <w:pPr>
        <w:pStyle w:val="Testonotaapidipagina"/>
        <w:jc w:val="both"/>
        <w:rPr>
          <w:rFonts w:ascii="Garamond" w:hAnsi="Garamond"/>
          <w:lang w:val="it-IT"/>
        </w:rPr>
      </w:pPr>
      <w:r w:rsidRPr="003B336C">
        <w:rPr>
          <w:rStyle w:val="Rimandonotaapidipagina"/>
          <w:rFonts w:ascii="Garamond" w:hAnsi="Garamond"/>
        </w:rPr>
        <w:footnoteRef/>
      </w:r>
      <w:r w:rsidRPr="007D563A">
        <w:rPr>
          <w:rFonts w:ascii="Garamond" w:hAnsi="Garamond"/>
          <w:lang w:val="it-IT"/>
        </w:rPr>
        <w:t xml:space="preserve"> Sebbene l’articolo sia frutto di un lavoro congiunto di tutti gli autori, i contributi individuali sono specificati come segue. Paola Giannoni è autrice dei capitoli 1 (</w:t>
      </w:r>
      <w:proofErr w:type="spellStart"/>
      <w:r w:rsidRPr="007D563A">
        <w:rPr>
          <w:rFonts w:ascii="Garamond" w:hAnsi="Garamond"/>
          <w:i/>
          <w:iCs/>
          <w:lang w:val="it-IT"/>
        </w:rPr>
        <w:t>Introduction</w:t>
      </w:r>
      <w:proofErr w:type="spellEnd"/>
      <w:r w:rsidRPr="007D563A">
        <w:rPr>
          <w:rFonts w:ascii="Garamond" w:hAnsi="Garamond"/>
          <w:lang w:val="it-IT"/>
        </w:rPr>
        <w:t>), 3.1 (</w:t>
      </w:r>
      <w:r w:rsidRPr="007D563A">
        <w:rPr>
          <w:rFonts w:ascii="Garamond" w:hAnsi="Garamond"/>
          <w:i/>
          <w:iCs/>
          <w:lang w:val="it-IT"/>
        </w:rPr>
        <w:t xml:space="preserve">Study </w:t>
      </w:r>
      <w:proofErr w:type="spellStart"/>
      <w:r w:rsidRPr="007D563A">
        <w:rPr>
          <w:rFonts w:ascii="Garamond" w:hAnsi="Garamond"/>
          <w:i/>
          <w:iCs/>
          <w:lang w:val="it-IT"/>
        </w:rPr>
        <w:t>Characteristics</w:t>
      </w:r>
      <w:proofErr w:type="spellEnd"/>
      <w:r w:rsidRPr="007D563A">
        <w:rPr>
          <w:rFonts w:ascii="Garamond" w:hAnsi="Garamond"/>
          <w:lang w:val="it-IT"/>
        </w:rPr>
        <w:t>) e 3.2 (</w:t>
      </w:r>
      <w:r w:rsidRPr="007D563A">
        <w:rPr>
          <w:rFonts w:ascii="Garamond" w:hAnsi="Garamond"/>
          <w:i/>
          <w:iCs/>
          <w:lang w:val="it-IT"/>
        </w:rPr>
        <w:t xml:space="preserve">Qualitative template </w:t>
      </w:r>
      <w:proofErr w:type="spellStart"/>
      <w:r w:rsidRPr="007D563A">
        <w:rPr>
          <w:rFonts w:ascii="Garamond" w:hAnsi="Garamond"/>
          <w:i/>
          <w:iCs/>
          <w:lang w:val="it-IT"/>
        </w:rPr>
        <w:t>analysis</w:t>
      </w:r>
      <w:proofErr w:type="spellEnd"/>
      <w:r w:rsidRPr="007D563A">
        <w:rPr>
          <w:rFonts w:ascii="Garamond" w:hAnsi="Garamond"/>
          <w:i/>
          <w:iCs/>
          <w:lang w:val="it-IT"/>
        </w:rPr>
        <w:t xml:space="preserve">: </w:t>
      </w:r>
      <w:proofErr w:type="spellStart"/>
      <w:r w:rsidRPr="007D563A">
        <w:rPr>
          <w:rFonts w:ascii="Garamond" w:hAnsi="Garamond"/>
          <w:i/>
          <w:iCs/>
          <w:lang w:val="it-IT"/>
        </w:rPr>
        <w:t>types</w:t>
      </w:r>
      <w:proofErr w:type="spellEnd"/>
      <w:r w:rsidRPr="007D563A">
        <w:rPr>
          <w:rFonts w:ascii="Garamond" w:hAnsi="Garamond"/>
          <w:i/>
          <w:iCs/>
          <w:lang w:val="it-IT"/>
        </w:rPr>
        <w:t xml:space="preserve"> and </w:t>
      </w:r>
      <w:proofErr w:type="spellStart"/>
      <w:r w:rsidRPr="007D563A">
        <w:rPr>
          <w:rFonts w:ascii="Garamond" w:hAnsi="Garamond"/>
          <w:i/>
          <w:iCs/>
          <w:lang w:val="it-IT"/>
        </w:rPr>
        <w:t>outcomes</w:t>
      </w:r>
      <w:proofErr w:type="spellEnd"/>
      <w:r w:rsidRPr="007D563A">
        <w:rPr>
          <w:rFonts w:ascii="Garamond" w:hAnsi="Garamond"/>
          <w:i/>
          <w:iCs/>
          <w:lang w:val="it-IT"/>
        </w:rPr>
        <w:t xml:space="preserve"> of </w:t>
      </w:r>
      <w:proofErr w:type="spellStart"/>
      <w:r w:rsidRPr="007D563A">
        <w:rPr>
          <w:rFonts w:ascii="Garamond" w:hAnsi="Garamond"/>
          <w:i/>
          <w:iCs/>
          <w:lang w:val="it-IT"/>
        </w:rPr>
        <w:t>ageism</w:t>
      </w:r>
      <w:proofErr w:type="spellEnd"/>
      <w:r w:rsidRPr="007D563A">
        <w:rPr>
          <w:rFonts w:ascii="Garamond" w:hAnsi="Garamond"/>
          <w:i/>
          <w:iCs/>
          <w:lang w:val="it-IT"/>
        </w:rPr>
        <w:t xml:space="preserve"> in </w:t>
      </w:r>
      <w:proofErr w:type="spellStart"/>
      <w:r w:rsidRPr="007D563A">
        <w:rPr>
          <w:rFonts w:ascii="Garamond" w:hAnsi="Garamond"/>
          <w:i/>
          <w:iCs/>
          <w:lang w:val="it-IT"/>
        </w:rPr>
        <w:t>healthcare</w:t>
      </w:r>
      <w:proofErr w:type="spellEnd"/>
      <w:r w:rsidRPr="007D563A">
        <w:rPr>
          <w:rFonts w:ascii="Garamond" w:hAnsi="Garamond"/>
          <w:lang w:val="it-IT"/>
        </w:rPr>
        <w:t>); Giada Moretti è autrice dei capitoli 2 (</w:t>
      </w:r>
      <w:proofErr w:type="spellStart"/>
      <w:r w:rsidRPr="007D563A">
        <w:rPr>
          <w:rFonts w:ascii="Garamond" w:hAnsi="Garamond"/>
          <w:i/>
          <w:iCs/>
          <w:lang w:val="it-IT"/>
        </w:rPr>
        <w:t>Objectives</w:t>
      </w:r>
      <w:proofErr w:type="spellEnd"/>
      <w:r w:rsidRPr="007D563A">
        <w:rPr>
          <w:rFonts w:ascii="Garamond" w:hAnsi="Garamond"/>
          <w:i/>
          <w:iCs/>
          <w:lang w:val="it-IT"/>
        </w:rPr>
        <w:t xml:space="preserve"> of the </w:t>
      </w:r>
      <w:proofErr w:type="spellStart"/>
      <w:r w:rsidRPr="007D563A">
        <w:rPr>
          <w:rFonts w:ascii="Garamond" w:hAnsi="Garamond"/>
          <w:i/>
          <w:iCs/>
          <w:lang w:val="it-IT"/>
        </w:rPr>
        <w:t>scoping</w:t>
      </w:r>
      <w:proofErr w:type="spellEnd"/>
      <w:r w:rsidRPr="007D563A">
        <w:rPr>
          <w:rFonts w:ascii="Garamond" w:hAnsi="Garamond"/>
          <w:i/>
          <w:iCs/>
          <w:lang w:val="it-IT"/>
        </w:rPr>
        <w:t xml:space="preserve"> review</w:t>
      </w:r>
      <w:r w:rsidRPr="007D563A">
        <w:rPr>
          <w:rFonts w:ascii="Garamond" w:hAnsi="Garamond"/>
          <w:lang w:val="it-IT"/>
        </w:rPr>
        <w:t>) e 3.2 (</w:t>
      </w:r>
      <w:r w:rsidRPr="007D563A">
        <w:rPr>
          <w:rFonts w:ascii="Garamond" w:hAnsi="Garamond"/>
          <w:i/>
          <w:iCs/>
          <w:lang w:val="it-IT"/>
        </w:rPr>
        <w:t xml:space="preserve">Qualitative template </w:t>
      </w:r>
      <w:proofErr w:type="spellStart"/>
      <w:r w:rsidRPr="007D563A">
        <w:rPr>
          <w:rFonts w:ascii="Garamond" w:hAnsi="Garamond"/>
          <w:i/>
          <w:iCs/>
          <w:lang w:val="it-IT"/>
        </w:rPr>
        <w:t>analysis</w:t>
      </w:r>
      <w:proofErr w:type="spellEnd"/>
      <w:r w:rsidRPr="007D563A">
        <w:rPr>
          <w:rFonts w:ascii="Garamond" w:hAnsi="Garamond"/>
          <w:i/>
          <w:iCs/>
          <w:lang w:val="it-IT"/>
        </w:rPr>
        <w:t xml:space="preserve">: </w:t>
      </w:r>
      <w:proofErr w:type="spellStart"/>
      <w:r w:rsidRPr="007D563A">
        <w:rPr>
          <w:rFonts w:ascii="Garamond" w:hAnsi="Garamond"/>
          <w:i/>
          <w:iCs/>
          <w:lang w:val="it-IT"/>
        </w:rPr>
        <w:t>types</w:t>
      </w:r>
      <w:proofErr w:type="spellEnd"/>
      <w:r w:rsidRPr="007D563A">
        <w:rPr>
          <w:rFonts w:ascii="Garamond" w:hAnsi="Garamond"/>
          <w:i/>
          <w:iCs/>
          <w:lang w:val="it-IT"/>
        </w:rPr>
        <w:t xml:space="preserve"> and </w:t>
      </w:r>
      <w:proofErr w:type="spellStart"/>
      <w:r w:rsidRPr="007D563A">
        <w:rPr>
          <w:rFonts w:ascii="Garamond" w:hAnsi="Garamond"/>
          <w:i/>
          <w:iCs/>
          <w:lang w:val="it-IT"/>
        </w:rPr>
        <w:t>outcomes</w:t>
      </w:r>
      <w:proofErr w:type="spellEnd"/>
      <w:r w:rsidRPr="007D563A">
        <w:rPr>
          <w:rFonts w:ascii="Garamond" w:hAnsi="Garamond"/>
          <w:i/>
          <w:iCs/>
          <w:lang w:val="it-IT"/>
        </w:rPr>
        <w:t xml:space="preserve"> of </w:t>
      </w:r>
      <w:proofErr w:type="spellStart"/>
      <w:r w:rsidRPr="007D563A">
        <w:rPr>
          <w:rFonts w:ascii="Garamond" w:hAnsi="Garamond"/>
          <w:i/>
          <w:iCs/>
          <w:lang w:val="it-IT"/>
        </w:rPr>
        <w:t>ageism</w:t>
      </w:r>
      <w:proofErr w:type="spellEnd"/>
      <w:r w:rsidRPr="007D563A">
        <w:rPr>
          <w:rFonts w:ascii="Garamond" w:hAnsi="Garamond"/>
          <w:i/>
          <w:iCs/>
          <w:lang w:val="it-IT"/>
        </w:rPr>
        <w:t xml:space="preserve"> in </w:t>
      </w:r>
      <w:proofErr w:type="spellStart"/>
      <w:r w:rsidRPr="007D563A">
        <w:rPr>
          <w:rFonts w:ascii="Garamond" w:hAnsi="Garamond"/>
          <w:i/>
          <w:iCs/>
          <w:lang w:val="it-IT"/>
        </w:rPr>
        <w:t>healthcare</w:t>
      </w:r>
      <w:proofErr w:type="spellEnd"/>
      <w:r w:rsidRPr="007D563A">
        <w:rPr>
          <w:rFonts w:ascii="Garamond" w:hAnsi="Garamond"/>
          <w:lang w:val="it-IT"/>
        </w:rPr>
        <w:t>); Stefano Poli è autore dei capitoli 4 (</w:t>
      </w:r>
      <w:proofErr w:type="spellStart"/>
      <w:r w:rsidRPr="007D563A">
        <w:rPr>
          <w:rFonts w:ascii="Garamond" w:hAnsi="Garamond"/>
          <w:i/>
          <w:iCs/>
          <w:lang w:val="it-IT"/>
        </w:rPr>
        <w:t>Discussion</w:t>
      </w:r>
      <w:proofErr w:type="spellEnd"/>
      <w:r w:rsidRPr="007D563A">
        <w:rPr>
          <w:rFonts w:ascii="Garamond" w:hAnsi="Garamond"/>
          <w:lang w:val="it-IT"/>
        </w:rPr>
        <w:t>) e 5 (</w:t>
      </w:r>
      <w:proofErr w:type="spellStart"/>
      <w:r w:rsidRPr="007D563A">
        <w:rPr>
          <w:rFonts w:ascii="Garamond" w:hAnsi="Garamond"/>
          <w:i/>
          <w:iCs/>
          <w:lang w:val="it-IT"/>
        </w:rPr>
        <w:t>Conclusion</w:t>
      </w:r>
      <w:proofErr w:type="spellEnd"/>
      <w:r w:rsidRPr="007D563A">
        <w:rPr>
          <w:rFonts w:ascii="Garamond" w:hAnsi="Garamond"/>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46CC" w14:textId="644AB380" w:rsidR="00B67E07" w:rsidRDefault="00000000">
    <w:pPr>
      <w:pStyle w:val="Intestazione"/>
    </w:pPr>
    <w:r>
      <w:rPr>
        <w:noProof/>
      </w:rPr>
      <w:pict w14:anchorId="128DC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76" o:spid="_x0000_s1026" type="#_x0000_t136" style="position:absolute;margin-left:0;margin-top:0;width:547.95pt;height:91.3pt;rotation:315;z-index:-251655168;mso-position-horizontal:center;mso-position-horizontal-relative:margin;mso-position-vertical:center;mso-position-vertical-relative:margin" o:allowincell="f" fillcolor="silver" stroked="f">
          <v:fill opacity=".5"/>
          <v:textpath style="font-family:&quot;Calibri&quot;;font-size:1pt" string="Accepted Manuscri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A756A18" w:rsidR="00D074F3" w:rsidRDefault="00000000">
    <w:pPr>
      <w:pBdr>
        <w:top w:val="nil"/>
        <w:left w:val="nil"/>
        <w:bottom w:val="nil"/>
        <w:right w:val="nil"/>
        <w:between w:val="nil"/>
      </w:pBdr>
      <w:tabs>
        <w:tab w:val="center" w:pos="4819"/>
        <w:tab w:val="right" w:pos="9638"/>
      </w:tabs>
      <w:spacing w:after="0" w:line="240" w:lineRule="auto"/>
      <w:rPr>
        <w:color w:val="000000"/>
      </w:rPr>
    </w:pPr>
    <w:r>
      <w:rPr>
        <w:noProof/>
      </w:rPr>
      <w:pict w14:anchorId="4D601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77" o:spid="_x0000_s1027" type="#_x0000_t136" style="position:absolute;margin-left:0;margin-top:0;width:547.95pt;height:91.3pt;rotation:315;z-index:-251653120;mso-position-horizontal:center;mso-position-horizontal-relative:margin;mso-position-vertical:center;mso-position-vertical-relative:margin" o:allowincell="f" fillcolor="silver" stroked="f">
          <v:fill opacity=".5"/>
          <v:textpath style="font-family:&quot;Calibri&quot;;font-size:1pt" string="Accepted Manuscript"/>
          <w10:wrap anchorx="margin" anchory="margin"/>
        </v:shape>
      </w:pict>
    </w:r>
  </w:p>
  <w:p w14:paraId="000000AA" w14:textId="77777777" w:rsidR="00D074F3" w:rsidRDefault="00D074F3">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186E2" w14:textId="6372B7F9" w:rsidR="00B67E07" w:rsidRDefault="00000000">
    <w:pPr>
      <w:pStyle w:val="Intestazione"/>
    </w:pPr>
    <w:r>
      <w:rPr>
        <w:noProof/>
      </w:rPr>
      <w:pict w14:anchorId="63B9A1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875" o:spid="_x0000_s1025" type="#_x0000_t136" style="position:absolute;margin-left:0;margin-top:0;width:547.95pt;height:91.3pt;rotation:315;z-index:-251657216;mso-position-horizontal:center;mso-position-horizontal-relative:margin;mso-position-vertical:center;mso-position-vertical-relative:margin" o:allowincell="f" fillcolor="silver" stroked="f">
          <v:fill opacity=".5"/>
          <v:textpath style="font-family:&quot;Calibri&quot;;font-size:1pt" string="Accepted Manuscrip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4F3"/>
    <w:rsid w:val="00080FBA"/>
    <w:rsid w:val="000928E2"/>
    <w:rsid w:val="000E0C68"/>
    <w:rsid w:val="00137176"/>
    <w:rsid w:val="00165906"/>
    <w:rsid w:val="001C60D2"/>
    <w:rsid w:val="002445B5"/>
    <w:rsid w:val="00250701"/>
    <w:rsid w:val="002A564A"/>
    <w:rsid w:val="002E2723"/>
    <w:rsid w:val="003176DA"/>
    <w:rsid w:val="0032739D"/>
    <w:rsid w:val="00347F02"/>
    <w:rsid w:val="003572C7"/>
    <w:rsid w:val="00367A2F"/>
    <w:rsid w:val="003C50DA"/>
    <w:rsid w:val="00437578"/>
    <w:rsid w:val="004F35D2"/>
    <w:rsid w:val="00564F11"/>
    <w:rsid w:val="005743E3"/>
    <w:rsid w:val="00575FC6"/>
    <w:rsid w:val="007069FD"/>
    <w:rsid w:val="00747664"/>
    <w:rsid w:val="007806E5"/>
    <w:rsid w:val="007C3798"/>
    <w:rsid w:val="007D563A"/>
    <w:rsid w:val="0088305E"/>
    <w:rsid w:val="008C2C6A"/>
    <w:rsid w:val="00910029"/>
    <w:rsid w:val="00992E6F"/>
    <w:rsid w:val="009C3221"/>
    <w:rsid w:val="00A501A7"/>
    <w:rsid w:val="00A56531"/>
    <w:rsid w:val="00AE374C"/>
    <w:rsid w:val="00B67E07"/>
    <w:rsid w:val="00C00430"/>
    <w:rsid w:val="00C34FB7"/>
    <w:rsid w:val="00D074F3"/>
    <w:rsid w:val="00D16638"/>
    <w:rsid w:val="00DD0773"/>
    <w:rsid w:val="00FF6F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57663"/>
  <w15:docId w15:val="{1577BEE1-E934-A84B-948B-EC4A391A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65252"/>
  </w:style>
  <w:style w:type="paragraph" w:styleId="Titolo1">
    <w:name w:val="heading 1"/>
    <w:basedOn w:val="Normale"/>
    <w:link w:val="Titolo1Carattere"/>
    <w:uiPriority w:val="9"/>
    <w:qFormat/>
    <w:rsid w:val="00E37D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olo2">
    <w:name w:val="heading 2"/>
    <w:basedOn w:val="Normale"/>
    <w:next w:val="Normale"/>
    <w:link w:val="Titolo2Carattere"/>
    <w:uiPriority w:val="9"/>
    <w:semiHidden/>
    <w:unhideWhenUsed/>
    <w:qFormat/>
    <w:rsid w:val="00D47B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foelenco">
    <w:name w:val="List Paragraph"/>
    <w:basedOn w:val="Normale"/>
    <w:uiPriority w:val="34"/>
    <w:qFormat/>
    <w:rsid w:val="00165252"/>
    <w:pPr>
      <w:ind w:left="720"/>
      <w:contextualSpacing/>
    </w:pPr>
  </w:style>
  <w:style w:type="paragraph" w:styleId="Testonotaapidipagina">
    <w:name w:val="footnote text"/>
    <w:basedOn w:val="Normale"/>
    <w:link w:val="TestonotaapidipaginaCarattere"/>
    <w:uiPriority w:val="99"/>
    <w:semiHidden/>
    <w:unhideWhenUsed/>
    <w:rsid w:val="003A542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A542B"/>
    <w:rPr>
      <w:sz w:val="20"/>
      <w:szCs w:val="20"/>
    </w:rPr>
  </w:style>
  <w:style w:type="character" w:styleId="Rimandonotaapidipagina">
    <w:name w:val="footnote reference"/>
    <w:basedOn w:val="Carpredefinitoparagrafo"/>
    <w:uiPriority w:val="99"/>
    <w:semiHidden/>
    <w:unhideWhenUsed/>
    <w:rsid w:val="003A542B"/>
    <w:rPr>
      <w:vertAlign w:val="superscript"/>
    </w:rPr>
  </w:style>
  <w:style w:type="character" w:styleId="Testosegnaposto">
    <w:name w:val="Placeholder Text"/>
    <w:basedOn w:val="Carpredefinitoparagrafo"/>
    <w:uiPriority w:val="99"/>
    <w:semiHidden/>
    <w:rsid w:val="00E50A63"/>
    <w:rPr>
      <w:color w:val="808080"/>
    </w:rPr>
  </w:style>
  <w:style w:type="paragraph" w:styleId="Testofumetto">
    <w:name w:val="Balloon Text"/>
    <w:basedOn w:val="Normale"/>
    <w:link w:val="TestofumettoCarattere"/>
    <w:uiPriority w:val="99"/>
    <w:semiHidden/>
    <w:unhideWhenUsed/>
    <w:rsid w:val="00E50A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0A63"/>
    <w:rPr>
      <w:rFonts w:ascii="Tahoma" w:hAnsi="Tahoma" w:cs="Tahoma"/>
      <w:sz w:val="16"/>
      <w:szCs w:val="16"/>
    </w:rPr>
  </w:style>
  <w:style w:type="character" w:customStyle="1" w:styleId="hgkelc">
    <w:name w:val="hgkelc"/>
    <w:basedOn w:val="Carpredefinitoparagrafo"/>
    <w:rsid w:val="002B7B10"/>
  </w:style>
  <w:style w:type="paragraph" w:customStyle="1" w:styleId="c-article-referencestext">
    <w:name w:val="c-article-references__text"/>
    <w:basedOn w:val="Normale"/>
    <w:rsid w:val="00E16D14"/>
    <w:pPr>
      <w:spacing w:before="100" w:beforeAutospacing="1" w:after="100" w:afterAutospacing="1" w:line="240" w:lineRule="auto"/>
    </w:pPr>
    <w:rPr>
      <w:rFonts w:ascii="Times New Roman" w:eastAsia="Times New Roman" w:hAnsi="Times New Roman" w:cs="Times New Roman"/>
      <w:sz w:val="24"/>
      <w:szCs w:val="24"/>
    </w:rPr>
  </w:style>
  <w:style w:type="paragraph" w:styleId="Intestazione">
    <w:name w:val="header"/>
    <w:basedOn w:val="Normale"/>
    <w:link w:val="IntestazioneCarattere"/>
    <w:uiPriority w:val="99"/>
    <w:unhideWhenUsed/>
    <w:rsid w:val="0072517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2517F"/>
  </w:style>
  <w:style w:type="paragraph" w:styleId="Pidipagina">
    <w:name w:val="footer"/>
    <w:basedOn w:val="Normale"/>
    <w:link w:val="PidipaginaCarattere"/>
    <w:uiPriority w:val="99"/>
    <w:unhideWhenUsed/>
    <w:rsid w:val="0072517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2517F"/>
  </w:style>
  <w:style w:type="character" w:styleId="Collegamentoipertestuale">
    <w:name w:val="Hyperlink"/>
    <w:basedOn w:val="Carpredefinitoparagrafo"/>
    <w:uiPriority w:val="99"/>
    <w:unhideWhenUsed/>
    <w:rsid w:val="00BC796D"/>
    <w:rPr>
      <w:color w:val="0000FF" w:themeColor="hyperlink"/>
      <w:u w:val="single"/>
    </w:rPr>
  </w:style>
  <w:style w:type="character" w:customStyle="1" w:styleId="Titolo1Carattere">
    <w:name w:val="Titolo 1 Carattere"/>
    <w:basedOn w:val="Carpredefinitoparagrafo"/>
    <w:link w:val="Titolo1"/>
    <w:uiPriority w:val="9"/>
    <w:rsid w:val="00E37D22"/>
    <w:rPr>
      <w:rFonts w:ascii="Times New Roman" w:eastAsia="Times New Roman" w:hAnsi="Times New Roman" w:cs="Times New Roman"/>
      <w:b/>
      <w:bCs/>
      <w:kern w:val="36"/>
      <w:sz w:val="48"/>
      <w:szCs w:val="48"/>
      <w:lang w:eastAsia="it-IT"/>
    </w:rPr>
  </w:style>
  <w:style w:type="character" w:customStyle="1" w:styleId="a-size-extra-large">
    <w:name w:val="a-size-extra-large"/>
    <w:basedOn w:val="Carpredefinitoparagrafo"/>
    <w:rsid w:val="00E37D22"/>
  </w:style>
  <w:style w:type="character" w:customStyle="1" w:styleId="Titolo2Carattere">
    <w:name w:val="Titolo 2 Carattere"/>
    <w:basedOn w:val="Carpredefinitoparagrafo"/>
    <w:link w:val="Titolo2"/>
    <w:uiPriority w:val="9"/>
    <w:semiHidden/>
    <w:rsid w:val="00D47B6A"/>
    <w:rPr>
      <w:rFonts w:asciiTheme="majorHAnsi" w:eastAsiaTheme="majorEastAsia" w:hAnsiTheme="majorHAnsi" w:cstheme="majorBidi"/>
      <w:b/>
      <w:bCs/>
      <w:color w:val="4F81BD" w:themeColor="accent1"/>
      <w:sz w:val="26"/>
      <w:szCs w:val="26"/>
    </w:rPr>
  </w:style>
  <w:style w:type="character" w:styleId="Enfasicorsivo">
    <w:name w:val="Emphasis"/>
    <w:basedOn w:val="Carpredefinitoparagrafo"/>
    <w:uiPriority w:val="20"/>
    <w:qFormat/>
    <w:rsid w:val="007B607F"/>
    <w:rPr>
      <w:i/>
      <w:iCs/>
    </w:rPr>
  </w:style>
  <w:style w:type="character" w:styleId="Rimandocommento">
    <w:name w:val="annotation reference"/>
    <w:basedOn w:val="Carpredefinitoparagrafo"/>
    <w:uiPriority w:val="99"/>
    <w:semiHidden/>
    <w:unhideWhenUsed/>
    <w:rsid w:val="000D5B0D"/>
    <w:rPr>
      <w:sz w:val="16"/>
      <w:szCs w:val="16"/>
    </w:rPr>
  </w:style>
  <w:style w:type="paragraph" w:styleId="Testocommento">
    <w:name w:val="annotation text"/>
    <w:basedOn w:val="Normale"/>
    <w:link w:val="TestocommentoCarattere"/>
    <w:uiPriority w:val="99"/>
    <w:unhideWhenUsed/>
    <w:rsid w:val="000D5B0D"/>
    <w:pPr>
      <w:spacing w:line="240" w:lineRule="auto"/>
    </w:pPr>
    <w:rPr>
      <w:sz w:val="20"/>
      <w:szCs w:val="20"/>
    </w:rPr>
  </w:style>
  <w:style w:type="character" w:customStyle="1" w:styleId="TestocommentoCarattere">
    <w:name w:val="Testo commento Carattere"/>
    <w:basedOn w:val="Carpredefinitoparagrafo"/>
    <w:link w:val="Testocommento"/>
    <w:uiPriority w:val="99"/>
    <w:rsid w:val="000D5B0D"/>
    <w:rPr>
      <w:sz w:val="20"/>
      <w:szCs w:val="20"/>
    </w:rPr>
  </w:style>
  <w:style w:type="paragraph" w:styleId="Soggettocommento">
    <w:name w:val="annotation subject"/>
    <w:basedOn w:val="Testocommento"/>
    <w:next w:val="Testocommento"/>
    <w:link w:val="SoggettocommentoCarattere"/>
    <w:uiPriority w:val="99"/>
    <w:semiHidden/>
    <w:unhideWhenUsed/>
    <w:rsid w:val="000D5B0D"/>
    <w:rPr>
      <w:b/>
      <w:bCs/>
    </w:rPr>
  </w:style>
  <w:style w:type="character" w:customStyle="1" w:styleId="SoggettocommentoCarattere">
    <w:name w:val="Soggetto commento Carattere"/>
    <w:basedOn w:val="TestocommentoCarattere"/>
    <w:link w:val="Soggettocommento"/>
    <w:uiPriority w:val="99"/>
    <w:semiHidden/>
    <w:rsid w:val="000D5B0D"/>
    <w:rPr>
      <w:b/>
      <w:bCs/>
      <w:sz w:val="20"/>
      <w:szCs w:val="20"/>
    </w:rPr>
  </w:style>
  <w:style w:type="character" w:customStyle="1" w:styleId="apple-converted-space">
    <w:name w:val="apple-converted-space"/>
    <w:rsid w:val="00FC6118"/>
  </w:style>
  <w:style w:type="character" w:customStyle="1" w:styleId="markedcontent">
    <w:name w:val="markedcontent"/>
    <w:basedOn w:val="Carpredefinitoparagrafo"/>
    <w:rsid w:val="00193CB7"/>
  </w:style>
  <w:style w:type="table" w:styleId="Grigliatabella">
    <w:name w:val="Table Grid"/>
    <w:basedOn w:val="Tabellanormale"/>
    <w:uiPriority w:val="59"/>
    <w:unhideWhenUsed/>
    <w:rsid w:val="00F82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1A02C7"/>
    <w:pPr>
      <w:spacing w:after="0" w:line="240" w:lineRule="auto"/>
    </w:pPr>
  </w:style>
  <w:style w:type="paragraph" w:styleId="NormaleWeb">
    <w:name w:val="Normal (Web)"/>
    <w:basedOn w:val="Normale"/>
    <w:uiPriority w:val="99"/>
    <w:semiHidden/>
    <w:unhideWhenUsed/>
    <w:rsid w:val="001C72B9"/>
    <w:pPr>
      <w:spacing w:before="100" w:beforeAutospacing="1" w:after="100" w:afterAutospacing="1" w:line="240" w:lineRule="auto"/>
    </w:pPr>
    <w:rPr>
      <w:rFonts w:ascii="Times New Roman" w:eastAsia="Times New Roman" w:hAnsi="Times New Roman" w:cs="Times New Roman"/>
      <w:sz w:val="24"/>
      <w:szCs w:val="24"/>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1A78C4"/>
    <w:rPr>
      <w:color w:val="605E5C"/>
      <w:shd w:val="clear" w:color="auto" w:fill="E1DFDD"/>
    </w:rPr>
  </w:style>
  <w:style w:type="table" w:customStyle="1" w:styleId="Grigliatabella1">
    <w:name w:val="Griglia tabella1"/>
    <w:basedOn w:val="Tabellanormale"/>
    <w:next w:val="Grigliatabella"/>
    <w:uiPriority w:val="59"/>
    <w:unhideWhenUsed/>
    <w:rsid w:val="007D563A"/>
    <w:pPr>
      <w:spacing w:after="0" w:line="240" w:lineRule="auto"/>
    </w:pPr>
    <w:rPr>
      <w:rFonts w:asciiTheme="minorHAnsi" w:eastAsiaTheme="minorHAnsi" w:hAnsiTheme="minorHAnsi" w:cstheme="minorBid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lanormale"/>
    <w:next w:val="Grigliatabella"/>
    <w:uiPriority w:val="59"/>
    <w:unhideWhenUsed/>
    <w:rsid w:val="007D563A"/>
    <w:pPr>
      <w:spacing w:after="0" w:line="240" w:lineRule="auto"/>
    </w:pPr>
    <w:rPr>
      <w:rFonts w:asciiTheme="minorHAnsi" w:hAnsiTheme="minorHAnsi" w:cstheme="minorBidi"/>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93/geront/9.4_Part_1.24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CTS5F8/SGdK/W0Y0Kb59qwbFQ==">CgMxLjAyCWguMmV0OTJwMDgAciExMGh1b1lDZUFNenBCVl9WVTlETWl3aUtOdzViTDhZY1c=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7444</Words>
  <Characters>42436</Characters>
  <Application>Microsoft Office Word</Application>
  <DocSecurity>0</DocSecurity>
  <Lines>353</Lines>
  <Paragraphs>99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Silvia Cervia</cp:lastModifiedBy>
  <cp:revision>3</cp:revision>
  <dcterms:created xsi:type="dcterms:W3CDTF">2026-03-31T06:13:00Z</dcterms:created>
  <dcterms:modified xsi:type="dcterms:W3CDTF">2026-03-31T06:25:00Z</dcterms:modified>
</cp:coreProperties>
</file>